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harts/chart6.xml" ContentType="application/vnd.openxmlformats-officedocument.drawingml.chart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3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92" w:rsidRPr="008C06D6" w:rsidRDefault="00D36892">
      <w:pPr>
        <w:rPr>
          <w:b/>
          <w:bCs/>
          <w:sz w:val="24"/>
          <w:szCs w:val="24"/>
        </w:rPr>
      </w:pPr>
    </w:p>
    <w:p w:rsidR="00E601E9" w:rsidRDefault="00E601E9" w:rsidP="00A94D07">
      <w:pPr>
        <w:jc w:val="center"/>
        <w:rPr>
          <w:b/>
          <w:bCs/>
          <w:sz w:val="24"/>
          <w:szCs w:val="24"/>
        </w:rPr>
      </w:pPr>
    </w:p>
    <w:p w:rsidR="00E601E9" w:rsidRDefault="00E601E9" w:rsidP="00A94D07">
      <w:pPr>
        <w:jc w:val="center"/>
        <w:rPr>
          <w:b/>
          <w:bCs/>
          <w:sz w:val="24"/>
          <w:szCs w:val="24"/>
        </w:rPr>
      </w:pPr>
    </w:p>
    <w:p w:rsidR="00E601E9" w:rsidRDefault="00E601E9" w:rsidP="00A94D07">
      <w:pPr>
        <w:jc w:val="center"/>
        <w:rPr>
          <w:b/>
          <w:bCs/>
          <w:sz w:val="24"/>
          <w:szCs w:val="24"/>
        </w:rPr>
      </w:pPr>
    </w:p>
    <w:p w:rsidR="00A94D07" w:rsidRDefault="00A94D07" w:rsidP="00A94D07">
      <w:pPr>
        <w:jc w:val="center"/>
        <w:rPr>
          <w:b/>
          <w:bCs/>
          <w:sz w:val="40"/>
          <w:szCs w:val="40"/>
        </w:rPr>
      </w:pPr>
      <w:r w:rsidRPr="00E601E9">
        <w:rPr>
          <w:b/>
          <w:bCs/>
          <w:sz w:val="40"/>
          <w:szCs w:val="40"/>
        </w:rPr>
        <w:t>Petroleum Development Oman LLC</w:t>
      </w:r>
    </w:p>
    <w:p w:rsidR="00E601E9" w:rsidRDefault="002B3703" w:rsidP="00D149E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MSE</w:t>
      </w:r>
      <w:r w:rsidR="00D149E6">
        <w:rPr>
          <w:b/>
          <w:bCs/>
          <w:sz w:val="40"/>
          <w:szCs w:val="40"/>
        </w:rPr>
        <w:t>3</w:t>
      </w:r>
    </w:p>
    <w:p w:rsidR="00E601E9" w:rsidRDefault="00E601E9" w:rsidP="00A94D07">
      <w:pPr>
        <w:jc w:val="center"/>
        <w:rPr>
          <w:b/>
          <w:bCs/>
          <w:sz w:val="40"/>
          <w:szCs w:val="40"/>
        </w:rPr>
      </w:pPr>
    </w:p>
    <w:p w:rsidR="00E601E9" w:rsidRPr="00E601E9" w:rsidRDefault="00E601E9" w:rsidP="00A94D07">
      <w:pPr>
        <w:jc w:val="center"/>
        <w:rPr>
          <w:b/>
          <w:bCs/>
          <w:sz w:val="40"/>
          <w:szCs w:val="40"/>
        </w:rPr>
      </w:pPr>
    </w:p>
    <w:p w:rsidR="00A94D07" w:rsidRPr="00E601E9" w:rsidRDefault="000E5B6F" w:rsidP="000B278F">
      <w:pPr>
        <w:shd w:val="clear" w:color="auto" w:fill="D9D9D9" w:themeFill="background1" w:themeFillShade="D9"/>
        <w:jc w:val="center"/>
        <w:rPr>
          <w:b/>
          <w:bCs/>
          <w:sz w:val="40"/>
          <w:szCs w:val="40"/>
        </w:rPr>
      </w:pPr>
      <w:r w:rsidRPr="00E601E9">
        <w:rPr>
          <w:b/>
          <w:bCs/>
          <w:sz w:val="40"/>
          <w:szCs w:val="40"/>
        </w:rPr>
        <w:t>2015</w:t>
      </w:r>
      <w:r w:rsidR="000B278F" w:rsidRPr="00E601E9">
        <w:rPr>
          <w:b/>
          <w:bCs/>
          <w:sz w:val="40"/>
          <w:szCs w:val="40"/>
        </w:rPr>
        <w:t xml:space="preserve"> LTI </w:t>
      </w:r>
      <w:r w:rsidR="00A94D07" w:rsidRPr="00E601E9">
        <w:rPr>
          <w:b/>
          <w:bCs/>
          <w:sz w:val="40"/>
          <w:szCs w:val="40"/>
        </w:rPr>
        <w:t xml:space="preserve">Incident </w:t>
      </w:r>
      <w:r w:rsidRPr="00E601E9">
        <w:rPr>
          <w:b/>
          <w:bCs/>
          <w:sz w:val="40"/>
          <w:szCs w:val="40"/>
        </w:rPr>
        <w:t>A</w:t>
      </w:r>
      <w:r w:rsidR="000B278F" w:rsidRPr="00E601E9">
        <w:rPr>
          <w:b/>
          <w:bCs/>
          <w:sz w:val="40"/>
          <w:szCs w:val="40"/>
        </w:rPr>
        <w:t>nalysis S</w:t>
      </w:r>
      <w:r w:rsidR="00A94D07" w:rsidRPr="00E601E9">
        <w:rPr>
          <w:b/>
          <w:bCs/>
          <w:sz w:val="40"/>
          <w:szCs w:val="40"/>
        </w:rPr>
        <w:t>tudy</w:t>
      </w:r>
    </w:p>
    <w:p w:rsidR="00E601E9" w:rsidRDefault="00960078">
      <w:pPr>
        <w:pStyle w:val="TOCHeading"/>
      </w:pPr>
      <w:r w:rsidRPr="008C06D6">
        <w:br w:type="page"/>
      </w:r>
    </w:p>
    <w:sdt>
      <w:sdtPr>
        <w:id w:val="273370529"/>
        <w:docPartObj>
          <w:docPartGallery w:val="Table of Contents"/>
          <w:docPartUnique/>
        </w:docPartObj>
      </w:sdtPr>
      <w:sdtContent>
        <w:p w:rsidR="00960078" w:rsidRPr="008C06D6" w:rsidRDefault="00960078" w:rsidP="00E601E9">
          <w:r w:rsidRPr="008C06D6">
            <w:t>Table of Contents</w:t>
          </w:r>
        </w:p>
        <w:p w:rsidR="007F5198" w:rsidRDefault="00F44196">
          <w:pPr>
            <w:pStyle w:val="TOC2"/>
            <w:tabs>
              <w:tab w:val="left" w:pos="660"/>
              <w:tab w:val="right" w:leader="dot" w:pos="8630"/>
            </w:tabs>
            <w:rPr>
              <w:noProof/>
              <w:lang w:val="en-GB" w:eastAsia="en-GB"/>
            </w:rPr>
          </w:pPr>
          <w:r w:rsidRPr="00F44196">
            <w:fldChar w:fldCharType="begin"/>
          </w:r>
          <w:r w:rsidR="00960078" w:rsidRPr="008C06D6">
            <w:instrText xml:space="preserve"> TOC \o "1-3" \h \z \u </w:instrText>
          </w:r>
          <w:r w:rsidRPr="00F44196">
            <w:fldChar w:fldCharType="separate"/>
          </w:r>
          <w:hyperlink w:anchor="_Toc440869344" w:history="1">
            <w:r w:rsidR="007F5198" w:rsidRPr="009A3C8E">
              <w:rPr>
                <w:rStyle w:val="Hyperlink"/>
                <w:noProof/>
              </w:rPr>
              <w:t>1.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Summary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66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45" w:history="1">
            <w:r w:rsidR="007F5198" w:rsidRPr="009A3C8E">
              <w:rPr>
                <w:rStyle w:val="Hyperlink"/>
                <w:noProof/>
              </w:rPr>
              <w:t>2.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Analysis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88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46" w:history="1">
            <w:r w:rsidR="007F5198" w:rsidRPr="009A3C8E">
              <w:rPr>
                <w:rStyle w:val="Hyperlink"/>
                <w:noProof/>
              </w:rPr>
              <w:t>2.1.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Directorates Analysis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110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47" w:history="1">
            <w:r w:rsidR="007F5198" w:rsidRPr="009A3C8E">
              <w:rPr>
                <w:rStyle w:val="Hyperlink"/>
                <w:noProof/>
              </w:rPr>
              <w:t>2.1.1.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Directorate Breakdown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110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48" w:history="1">
            <w:r w:rsidR="007F5198" w:rsidRPr="009A3C8E">
              <w:rPr>
                <w:rStyle w:val="Hyperlink"/>
                <w:noProof/>
              </w:rPr>
              <w:t>2.1.2.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PDO % LTI Profile by Directorate – 2014/2015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110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49" w:history="1">
            <w:r w:rsidR="007F5198" w:rsidRPr="009A3C8E">
              <w:rPr>
                <w:rStyle w:val="Hyperlink"/>
                <w:noProof/>
              </w:rPr>
              <w:t>2.1.3.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LTIs Trend by Quarter 2014/2015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88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50" w:history="1">
            <w:r w:rsidR="007F5198" w:rsidRPr="009A3C8E">
              <w:rPr>
                <w:rStyle w:val="Hyperlink"/>
                <w:noProof/>
              </w:rPr>
              <w:t>2.2.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LTIs Per Operational Team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88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51" w:history="1">
            <w:r w:rsidR="007F5198" w:rsidRPr="009A3C8E">
              <w:rPr>
                <w:rStyle w:val="Hyperlink"/>
                <w:noProof/>
              </w:rPr>
              <w:t>2.3.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PDO v Contractor LTIs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88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52" w:history="1">
            <w:r w:rsidR="007F5198" w:rsidRPr="009A3C8E">
              <w:rPr>
                <w:rStyle w:val="Hyperlink"/>
                <w:noProof/>
              </w:rPr>
              <w:t>2.4.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Contractors with The Worst Incident Performance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88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53" w:history="1">
            <w:r w:rsidR="007F5198" w:rsidRPr="009A3C8E">
              <w:rPr>
                <w:rStyle w:val="Hyperlink"/>
                <w:noProof/>
              </w:rPr>
              <w:t>2.5.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LTI Incident Descriptions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88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54" w:history="1">
            <w:r w:rsidR="007F5198" w:rsidRPr="009A3C8E">
              <w:rPr>
                <w:rStyle w:val="Hyperlink"/>
                <w:noProof/>
              </w:rPr>
              <w:t>2.6.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Incident Classification: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88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55" w:history="1">
            <w:r w:rsidR="007F5198" w:rsidRPr="009A3C8E">
              <w:rPr>
                <w:rStyle w:val="Hyperlink"/>
                <w:noProof/>
              </w:rPr>
              <w:t>2.7.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Actual Severity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88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56" w:history="1">
            <w:r w:rsidR="007F5198" w:rsidRPr="009A3C8E">
              <w:rPr>
                <w:rStyle w:val="Hyperlink"/>
                <w:noProof/>
              </w:rPr>
              <w:t>2.8.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Potential Severity: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88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57" w:history="1">
            <w:r w:rsidR="007F5198" w:rsidRPr="009A3C8E">
              <w:rPr>
                <w:rStyle w:val="Hyperlink"/>
                <w:noProof/>
              </w:rPr>
              <w:t>2.9.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Types of underlying causes: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110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58" w:history="1">
            <w:r w:rsidR="007F5198" w:rsidRPr="009A3C8E">
              <w:rPr>
                <w:rStyle w:val="Hyperlink"/>
                <w:noProof/>
              </w:rPr>
              <w:t>2.9.1.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Comparison table for the underlying causes: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110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59" w:history="1">
            <w:r w:rsidR="007F5198" w:rsidRPr="009A3C8E">
              <w:rPr>
                <w:rStyle w:val="Hyperlink"/>
                <w:noProof/>
              </w:rPr>
              <w:t>2.9.2.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Graph in percentage for the underlying causes - 2015: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110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60" w:history="1">
            <w:r w:rsidR="007F5198" w:rsidRPr="009A3C8E">
              <w:rPr>
                <w:rStyle w:val="Hyperlink"/>
                <w:rFonts w:eastAsiaTheme="minorHAnsi"/>
                <w:noProof/>
              </w:rPr>
              <w:t>2.10.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Parts of the body 2015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110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61" w:history="1">
            <w:r w:rsidR="007F5198" w:rsidRPr="009A3C8E">
              <w:rPr>
                <w:rStyle w:val="Hyperlink"/>
                <w:noProof/>
              </w:rPr>
              <w:t>2.11.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Time of incidents 2015: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110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62" w:history="1">
            <w:r w:rsidR="007F5198" w:rsidRPr="009A3C8E">
              <w:rPr>
                <w:rStyle w:val="Hyperlink"/>
                <w:noProof/>
              </w:rPr>
              <w:t>2.12.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Age of IP: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2"/>
            <w:tabs>
              <w:tab w:val="left" w:pos="1100"/>
              <w:tab w:val="right" w:leader="dot" w:pos="8630"/>
            </w:tabs>
            <w:rPr>
              <w:noProof/>
              <w:lang w:val="en-GB" w:eastAsia="en-GB"/>
            </w:rPr>
          </w:pPr>
          <w:hyperlink w:anchor="_Toc440869363" w:history="1">
            <w:r w:rsidR="007F5198" w:rsidRPr="009A3C8E">
              <w:rPr>
                <w:rStyle w:val="Hyperlink"/>
                <w:noProof/>
              </w:rPr>
              <w:t>2.13.</w:t>
            </w:r>
            <w:r w:rsidR="007F5198">
              <w:rPr>
                <w:noProof/>
                <w:lang w:val="en-GB" w:eastAsia="en-GB"/>
              </w:rPr>
              <w:tab/>
            </w:r>
            <w:r w:rsidR="007F5198" w:rsidRPr="009A3C8E">
              <w:rPr>
                <w:rStyle w:val="Hyperlink"/>
                <w:noProof/>
              </w:rPr>
              <w:t>General Observations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198" w:rsidRDefault="00F44196">
          <w:pPr>
            <w:pStyle w:val="TOC1"/>
            <w:tabs>
              <w:tab w:val="right" w:leader="dot" w:pos="8630"/>
            </w:tabs>
            <w:rPr>
              <w:noProof/>
              <w:lang w:val="en-GB" w:eastAsia="en-GB"/>
            </w:rPr>
          </w:pPr>
          <w:hyperlink w:anchor="_Toc440869364" w:history="1">
            <w:r w:rsidR="007F5198" w:rsidRPr="009A3C8E">
              <w:rPr>
                <w:rStyle w:val="Hyperlink"/>
                <w:noProof/>
              </w:rPr>
              <w:t>End of Analysis</w:t>
            </w:r>
            <w:r w:rsidR="007F51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5198">
              <w:rPr>
                <w:noProof/>
                <w:webHidden/>
              </w:rPr>
              <w:instrText xml:space="preserve"> PAGEREF _Toc440869364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19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0078" w:rsidRPr="008C06D6" w:rsidRDefault="00F44196">
          <w:r w:rsidRPr="008C06D6">
            <w:fldChar w:fldCharType="end"/>
          </w:r>
        </w:p>
      </w:sdtContent>
    </w:sdt>
    <w:p w:rsidR="00960078" w:rsidRPr="008C06D6" w:rsidRDefault="00960078" w:rsidP="00960078">
      <w:pP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 w:rsidRPr="008C06D6">
        <w:t xml:space="preserve"> </w:t>
      </w:r>
      <w:r w:rsidRPr="008C06D6">
        <w:br w:type="page"/>
      </w:r>
    </w:p>
    <w:p w:rsidR="00A94D07" w:rsidRPr="0074631B" w:rsidRDefault="00A94D07" w:rsidP="008D2731">
      <w:pPr>
        <w:pStyle w:val="Heading2"/>
        <w:numPr>
          <w:ilvl w:val="0"/>
          <w:numId w:val="42"/>
        </w:numPr>
        <w:rPr>
          <w:rFonts w:asciiTheme="minorHAnsi" w:hAnsiTheme="minorHAnsi"/>
          <w:color w:val="auto"/>
        </w:rPr>
      </w:pPr>
      <w:bookmarkStart w:id="0" w:name="_Toc440869344"/>
      <w:r w:rsidRPr="0074631B">
        <w:rPr>
          <w:rFonts w:asciiTheme="minorHAnsi" w:hAnsiTheme="minorHAnsi"/>
          <w:color w:val="auto"/>
        </w:rPr>
        <w:lastRenderedPageBreak/>
        <w:t>Summary</w:t>
      </w:r>
      <w:bookmarkEnd w:id="0"/>
    </w:p>
    <w:p w:rsidR="00A94D07" w:rsidRPr="008C06D6" w:rsidRDefault="00A94D07" w:rsidP="005B1647">
      <w:pPr>
        <w:jc w:val="both"/>
      </w:pPr>
      <w:r w:rsidRPr="008C06D6">
        <w:t>PDO</w:t>
      </w:r>
      <w:r w:rsidR="005B1647">
        <w:t xml:space="preserve"> </w:t>
      </w:r>
      <w:r w:rsidR="00605749" w:rsidRPr="008C06D6">
        <w:t xml:space="preserve">achieved an </w:t>
      </w:r>
      <w:r w:rsidRPr="008C06D6">
        <w:t xml:space="preserve">LTIF performance </w:t>
      </w:r>
      <w:r w:rsidR="00605749" w:rsidRPr="008C06D6">
        <w:t xml:space="preserve">of </w:t>
      </w:r>
      <w:r w:rsidRPr="008C06D6">
        <w:t>0.</w:t>
      </w:r>
      <w:r w:rsidR="00260017" w:rsidRPr="008C06D6">
        <w:t>2</w:t>
      </w:r>
      <w:r w:rsidR="00226F1E" w:rsidRPr="008C06D6">
        <w:t>8</w:t>
      </w:r>
      <w:r w:rsidR="00605749" w:rsidRPr="008C06D6">
        <w:t xml:space="preserve"> in 2015, </w:t>
      </w:r>
      <w:r w:rsidR="008D1180" w:rsidRPr="008C06D6">
        <w:t>a</w:t>
      </w:r>
      <w:r w:rsidR="00605749" w:rsidRPr="008C06D6">
        <w:t xml:space="preserve"> 12.5%</w:t>
      </w:r>
      <w:r w:rsidR="008D1180" w:rsidRPr="008C06D6">
        <w:t xml:space="preserve"> </w:t>
      </w:r>
      <w:r w:rsidR="00802578" w:rsidRPr="008C06D6">
        <w:t xml:space="preserve">improvement </w:t>
      </w:r>
      <w:r w:rsidRPr="008C06D6">
        <w:t xml:space="preserve">compared with </w:t>
      </w:r>
      <w:r w:rsidR="008D1180" w:rsidRPr="008C06D6">
        <w:t xml:space="preserve">the </w:t>
      </w:r>
      <w:r w:rsidR="00605749" w:rsidRPr="008C06D6">
        <w:t xml:space="preserve">0.32 rate achieved </w:t>
      </w:r>
      <w:r w:rsidR="00802578" w:rsidRPr="008C06D6">
        <w:t xml:space="preserve">in </w:t>
      </w:r>
      <w:r w:rsidRPr="008C06D6">
        <w:t xml:space="preserve">2014. </w:t>
      </w:r>
      <w:r w:rsidR="008D1180" w:rsidRPr="008C06D6">
        <w:t xml:space="preserve"> </w:t>
      </w:r>
      <w:r w:rsidR="000B278F" w:rsidRPr="008C06D6">
        <w:t>We</w:t>
      </w:r>
      <w:r w:rsidR="00802578" w:rsidRPr="008C06D6">
        <w:t xml:space="preserve"> suffered </w:t>
      </w:r>
      <w:r w:rsidR="00023D64" w:rsidRPr="008C06D6">
        <w:t>5</w:t>
      </w:r>
      <w:r w:rsidR="00BD2A34" w:rsidRPr="008C06D6">
        <w:t>1</w:t>
      </w:r>
      <w:r w:rsidRPr="008C06D6">
        <w:t xml:space="preserve"> LTIs</w:t>
      </w:r>
      <w:r w:rsidR="00D0603E" w:rsidRPr="008C06D6">
        <w:t xml:space="preserve">, </w:t>
      </w:r>
      <w:r w:rsidR="00BD2A34" w:rsidRPr="008C06D6">
        <w:t>7</w:t>
      </w:r>
      <w:r w:rsidR="00260017" w:rsidRPr="008C06D6">
        <w:t xml:space="preserve"> less</w:t>
      </w:r>
      <w:r w:rsidRPr="008C06D6">
        <w:t xml:space="preserve"> than in 2014 with</w:t>
      </w:r>
      <w:r w:rsidR="00E05C00" w:rsidRPr="008C06D6">
        <w:t xml:space="preserve"> 18</w:t>
      </w:r>
      <w:r w:rsidR="00D0603E" w:rsidRPr="008C06D6">
        <w:t>4</w:t>
      </w:r>
      <w:r w:rsidR="00E05C00" w:rsidRPr="008C06D6">
        <w:t>.</w:t>
      </w:r>
      <w:r w:rsidR="00226F1E" w:rsidRPr="008C06D6">
        <w:t>9</w:t>
      </w:r>
      <w:r w:rsidR="00E05C00" w:rsidRPr="008C06D6">
        <w:t xml:space="preserve"> million</w:t>
      </w:r>
      <w:r w:rsidRPr="008C06D6">
        <w:t xml:space="preserve"> </w:t>
      </w:r>
      <w:r w:rsidR="00960271" w:rsidRPr="008C06D6">
        <w:t>man-hour</w:t>
      </w:r>
      <w:r w:rsidRPr="008C06D6">
        <w:t xml:space="preserve"> worked. The following analysis of the incidents is designed to identify trends and points of statistical </w:t>
      </w:r>
      <w:r w:rsidRPr="0081017A">
        <w:t xml:space="preserve">interest </w:t>
      </w:r>
      <w:r w:rsidR="000B278F" w:rsidRPr="0081017A">
        <w:t xml:space="preserve">for you </w:t>
      </w:r>
      <w:r w:rsidRPr="0081017A">
        <w:t>to target future resource</w:t>
      </w:r>
      <w:r w:rsidR="0081017A" w:rsidRPr="0081017A">
        <w:t>s</w:t>
      </w:r>
      <w:r w:rsidRPr="0081017A">
        <w:t>.</w:t>
      </w:r>
    </w:p>
    <w:p w:rsidR="00A94D07" w:rsidRPr="0074631B" w:rsidRDefault="00A94D07" w:rsidP="008D2731">
      <w:pPr>
        <w:pStyle w:val="Heading2"/>
        <w:numPr>
          <w:ilvl w:val="0"/>
          <w:numId w:val="42"/>
        </w:numPr>
        <w:rPr>
          <w:rFonts w:asciiTheme="minorHAnsi" w:hAnsiTheme="minorHAnsi"/>
          <w:color w:val="auto"/>
        </w:rPr>
      </w:pPr>
      <w:bookmarkStart w:id="1" w:name="_Toc440869345"/>
      <w:r w:rsidRPr="0074631B">
        <w:rPr>
          <w:rFonts w:asciiTheme="minorHAnsi" w:hAnsiTheme="minorHAnsi"/>
          <w:color w:val="auto"/>
        </w:rPr>
        <w:t>Analysis</w:t>
      </w:r>
      <w:bookmarkEnd w:id="1"/>
    </w:p>
    <w:p w:rsidR="00A94D07" w:rsidRPr="0074631B" w:rsidRDefault="00A94D07" w:rsidP="00DE3FAC">
      <w:pPr>
        <w:pStyle w:val="Heading2"/>
        <w:numPr>
          <w:ilvl w:val="1"/>
          <w:numId w:val="42"/>
        </w:numPr>
        <w:ind w:left="900" w:hanging="540"/>
        <w:rPr>
          <w:rFonts w:asciiTheme="minorHAnsi" w:hAnsiTheme="minorHAnsi"/>
          <w:color w:val="auto"/>
        </w:rPr>
      </w:pPr>
      <w:bookmarkStart w:id="2" w:name="_Toc440869346"/>
      <w:r w:rsidRPr="0074631B">
        <w:rPr>
          <w:rFonts w:asciiTheme="minorHAnsi" w:hAnsiTheme="minorHAnsi"/>
          <w:color w:val="auto"/>
        </w:rPr>
        <w:t>Directorate</w:t>
      </w:r>
      <w:r w:rsidR="008D2731" w:rsidRPr="0074631B">
        <w:rPr>
          <w:rFonts w:asciiTheme="minorHAnsi" w:hAnsiTheme="minorHAnsi"/>
          <w:color w:val="auto"/>
        </w:rPr>
        <w:t>s</w:t>
      </w:r>
      <w:r w:rsidR="00DE3FAC" w:rsidRPr="0074631B">
        <w:rPr>
          <w:rFonts w:asciiTheme="minorHAnsi" w:hAnsiTheme="minorHAnsi"/>
          <w:color w:val="auto"/>
        </w:rPr>
        <w:t xml:space="preserve"> Analysis</w:t>
      </w:r>
      <w:bookmarkEnd w:id="2"/>
    </w:p>
    <w:p w:rsidR="008D2731" w:rsidRPr="0074631B" w:rsidRDefault="00DE3FAC" w:rsidP="008D2731">
      <w:pPr>
        <w:pStyle w:val="Heading2"/>
        <w:numPr>
          <w:ilvl w:val="2"/>
          <w:numId w:val="42"/>
        </w:numPr>
        <w:spacing w:after="120"/>
        <w:rPr>
          <w:rFonts w:asciiTheme="minorHAnsi" w:hAnsiTheme="minorHAnsi"/>
          <w:color w:val="auto"/>
        </w:rPr>
      </w:pPr>
      <w:bookmarkStart w:id="3" w:name="_Toc440869347"/>
      <w:r w:rsidRPr="0074631B">
        <w:rPr>
          <w:rFonts w:asciiTheme="minorHAnsi" w:hAnsiTheme="minorHAnsi"/>
          <w:color w:val="auto"/>
        </w:rPr>
        <w:t xml:space="preserve">Directorate </w:t>
      </w:r>
      <w:r w:rsidR="008D2731" w:rsidRPr="0074631B">
        <w:rPr>
          <w:rFonts w:asciiTheme="minorHAnsi" w:hAnsiTheme="minorHAnsi"/>
          <w:color w:val="auto"/>
        </w:rPr>
        <w:t>Breakdown</w:t>
      </w:r>
      <w:bookmarkEnd w:id="3"/>
    </w:p>
    <w:tbl>
      <w:tblPr>
        <w:tblStyle w:val="TableGrid"/>
        <w:tblW w:w="7331" w:type="dxa"/>
        <w:tblInd w:w="720" w:type="dxa"/>
        <w:shd w:val="clear" w:color="auto" w:fill="C2D69B" w:themeFill="accent3" w:themeFillTint="99"/>
        <w:tblLook w:val="04A0"/>
      </w:tblPr>
      <w:tblGrid>
        <w:gridCol w:w="1496"/>
        <w:gridCol w:w="933"/>
        <w:gridCol w:w="966"/>
        <w:gridCol w:w="1243"/>
        <w:gridCol w:w="725"/>
        <w:gridCol w:w="725"/>
        <w:gridCol w:w="1243"/>
      </w:tblGrid>
      <w:tr w:rsidR="008D2731" w:rsidRPr="008C06D6" w:rsidTr="006077A9">
        <w:trPr>
          <w:trHeight w:val="317"/>
        </w:trPr>
        <w:tc>
          <w:tcPr>
            <w:tcW w:w="1496" w:type="dxa"/>
            <w:vMerge w:val="restart"/>
            <w:shd w:val="clear" w:color="auto" w:fill="C2D69B" w:themeFill="accent3" w:themeFillTint="99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Directorate</w:t>
            </w:r>
          </w:p>
        </w:tc>
        <w:tc>
          <w:tcPr>
            <w:tcW w:w="3142" w:type="dxa"/>
            <w:gridSpan w:val="3"/>
            <w:shd w:val="clear" w:color="auto" w:fill="C2D69B" w:themeFill="accent3" w:themeFillTint="99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Q4</w:t>
            </w:r>
          </w:p>
        </w:tc>
        <w:tc>
          <w:tcPr>
            <w:tcW w:w="2693" w:type="dxa"/>
            <w:gridSpan w:val="3"/>
            <w:shd w:val="clear" w:color="auto" w:fill="C2D69B" w:themeFill="accent3" w:themeFillTint="99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Full Year</w:t>
            </w:r>
          </w:p>
        </w:tc>
      </w:tr>
      <w:tr w:rsidR="008D2731" w:rsidRPr="008C06D6" w:rsidTr="006077A9">
        <w:trPr>
          <w:trHeight w:val="141"/>
        </w:trPr>
        <w:tc>
          <w:tcPr>
            <w:tcW w:w="1496" w:type="dxa"/>
            <w:vMerge/>
            <w:shd w:val="clear" w:color="auto" w:fill="C2D69B" w:themeFill="accent3" w:themeFillTint="99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2015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2014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% Change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2015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2014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% Change</w:t>
            </w:r>
          </w:p>
        </w:tc>
      </w:tr>
      <w:tr w:rsidR="008D2731" w:rsidRPr="008C06D6" w:rsidTr="006077A9">
        <w:trPr>
          <w:trHeight w:val="253"/>
        </w:trPr>
        <w:tc>
          <w:tcPr>
            <w:tcW w:w="1496" w:type="dxa"/>
            <w:shd w:val="clear" w:color="auto" w:fill="C2D69B" w:themeFill="accent3" w:themeFillTint="99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UWD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highlight w:val="yellow"/>
              </w:rPr>
            </w:pPr>
            <w:r w:rsidRPr="008C06D6">
              <w:t>11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11</w:t>
            </w:r>
          </w:p>
        </w:tc>
        <w:tc>
          <w:tcPr>
            <w:tcW w:w="1243" w:type="dxa"/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highlight w:val="yellow"/>
              </w:rPr>
            </w:pPr>
            <w:r w:rsidRPr="008C06D6">
              <w:t xml:space="preserve">0 </w:t>
            </w:r>
          </w:p>
        </w:tc>
        <w:tc>
          <w:tcPr>
            <w:tcW w:w="725" w:type="dxa"/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37</w:t>
            </w:r>
          </w:p>
        </w:tc>
        <w:tc>
          <w:tcPr>
            <w:tcW w:w="725" w:type="dxa"/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37</w:t>
            </w:r>
          </w:p>
        </w:tc>
        <w:tc>
          <w:tcPr>
            <w:tcW w:w="1243" w:type="dxa"/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 xml:space="preserve">0 </w:t>
            </w:r>
          </w:p>
        </w:tc>
      </w:tr>
      <w:tr w:rsidR="008D2731" w:rsidRPr="008C06D6" w:rsidTr="006077A9">
        <w:trPr>
          <w:trHeight w:val="267"/>
        </w:trPr>
        <w:tc>
          <w:tcPr>
            <w:tcW w:w="1496" w:type="dxa"/>
            <w:shd w:val="clear" w:color="auto" w:fill="C2D69B" w:themeFill="accent3" w:themeFillTint="99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OSD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highlight w:val="yellow"/>
              </w:rPr>
            </w:pPr>
            <w:r w:rsidRPr="008C06D6">
              <w:t>1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0</w:t>
            </w:r>
          </w:p>
        </w:tc>
        <w:tc>
          <w:tcPr>
            <w:tcW w:w="1243" w:type="dxa"/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100</w:t>
            </w:r>
          </w:p>
        </w:tc>
        <w:tc>
          <w:tcPr>
            <w:tcW w:w="725" w:type="dxa"/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3</w:t>
            </w:r>
          </w:p>
        </w:tc>
        <w:tc>
          <w:tcPr>
            <w:tcW w:w="725" w:type="dxa"/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8</w:t>
            </w:r>
          </w:p>
        </w:tc>
        <w:tc>
          <w:tcPr>
            <w:tcW w:w="1243" w:type="dxa"/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(63)</w:t>
            </w:r>
          </w:p>
        </w:tc>
      </w:tr>
      <w:tr w:rsidR="008D2731" w:rsidRPr="008C06D6" w:rsidTr="006077A9">
        <w:trPr>
          <w:trHeight w:val="253"/>
        </w:trPr>
        <w:tc>
          <w:tcPr>
            <w:tcW w:w="1496" w:type="dxa"/>
            <w:shd w:val="clear" w:color="auto" w:fill="C2D69B" w:themeFill="accent3" w:themeFillTint="99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OND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highlight w:val="yellow"/>
              </w:rPr>
            </w:pPr>
            <w:r w:rsidRPr="008C06D6">
              <w:t>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2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(100)</w:t>
            </w:r>
          </w:p>
        </w:tc>
      </w:tr>
      <w:tr w:rsidR="008D2731" w:rsidRPr="008C06D6" w:rsidTr="006077A9">
        <w:trPr>
          <w:trHeight w:val="267"/>
        </w:trPr>
        <w:tc>
          <w:tcPr>
            <w:tcW w:w="1496" w:type="dxa"/>
            <w:shd w:val="clear" w:color="auto" w:fill="C2D69B" w:themeFill="accent3" w:themeFillTint="99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XD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highlight w:val="yellow"/>
              </w:rPr>
            </w:pPr>
            <w:r w:rsidRPr="008C06D6">
              <w:t>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0</w:t>
            </w:r>
          </w:p>
        </w:tc>
        <w:tc>
          <w:tcPr>
            <w:tcW w:w="1243" w:type="dxa"/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1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1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0</w:t>
            </w:r>
          </w:p>
        </w:tc>
      </w:tr>
      <w:tr w:rsidR="008D2731" w:rsidRPr="008C06D6" w:rsidTr="006077A9">
        <w:trPr>
          <w:trHeight w:val="253"/>
        </w:trPr>
        <w:tc>
          <w:tcPr>
            <w:tcW w:w="1496" w:type="dxa"/>
            <w:shd w:val="clear" w:color="auto" w:fill="C2D69B" w:themeFill="accent3" w:themeFillTint="99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UID</w:t>
            </w:r>
          </w:p>
        </w:tc>
        <w:tc>
          <w:tcPr>
            <w:tcW w:w="933" w:type="dxa"/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highlight w:val="yellow"/>
              </w:rPr>
            </w:pPr>
            <w:r w:rsidRPr="008C06D6">
              <w:t>1</w:t>
            </w:r>
          </w:p>
        </w:tc>
        <w:tc>
          <w:tcPr>
            <w:tcW w:w="966" w:type="dxa"/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1</w:t>
            </w:r>
          </w:p>
        </w:tc>
        <w:tc>
          <w:tcPr>
            <w:tcW w:w="1243" w:type="dxa"/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highlight w:val="yellow"/>
              </w:rPr>
            </w:pPr>
            <w:r w:rsidRPr="008C06D6">
              <w:t>0</w:t>
            </w:r>
          </w:p>
        </w:tc>
        <w:tc>
          <w:tcPr>
            <w:tcW w:w="725" w:type="dxa"/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8</w:t>
            </w:r>
          </w:p>
        </w:tc>
        <w:tc>
          <w:tcPr>
            <w:tcW w:w="725" w:type="dxa"/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9</w:t>
            </w:r>
          </w:p>
        </w:tc>
        <w:tc>
          <w:tcPr>
            <w:tcW w:w="1243" w:type="dxa"/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(11)</w:t>
            </w:r>
          </w:p>
        </w:tc>
      </w:tr>
      <w:tr w:rsidR="008D2731" w:rsidRPr="008C06D6" w:rsidTr="006077A9">
        <w:trPr>
          <w:trHeight w:val="267"/>
        </w:trPr>
        <w:tc>
          <w:tcPr>
            <w:tcW w:w="1496" w:type="dxa"/>
            <w:shd w:val="clear" w:color="auto" w:fill="C2D69B" w:themeFill="accent3" w:themeFillTint="99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GD</w:t>
            </w:r>
          </w:p>
        </w:tc>
        <w:tc>
          <w:tcPr>
            <w:tcW w:w="933" w:type="dxa"/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highlight w:val="yellow"/>
              </w:rPr>
            </w:pPr>
            <w:r w:rsidRPr="008C06D6">
              <w:t>0</w:t>
            </w:r>
          </w:p>
        </w:tc>
        <w:tc>
          <w:tcPr>
            <w:tcW w:w="966" w:type="dxa"/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0</w:t>
            </w:r>
          </w:p>
        </w:tc>
        <w:tc>
          <w:tcPr>
            <w:tcW w:w="1243" w:type="dxa"/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highlight w:val="yellow"/>
              </w:rPr>
            </w:pPr>
            <w:r w:rsidRPr="008C06D6">
              <w:t>0</w:t>
            </w:r>
          </w:p>
        </w:tc>
        <w:tc>
          <w:tcPr>
            <w:tcW w:w="725" w:type="dxa"/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0</w:t>
            </w:r>
          </w:p>
        </w:tc>
        <w:tc>
          <w:tcPr>
            <w:tcW w:w="725" w:type="dxa"/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1</w:t>
            </w:r>
          </w:p>
        </w:tc>
        <w:tc>
          <w:tcPr>
            <w:tcW w:w="1243" w:type="dxa"/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(100)</w:t>
            </w:r>
          </w:p>
        </w:tc>
      </w:tr>
      <w:tr w:rsidR="008D2731" w:rsidRPr="008C06D6" w:rsidTr="006077A9">
        <w:trPr>
          <w:trHeight w:val="253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UEOD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highlight w:val="yellow"/>
              </w:rPr>
            </w:pPr>
            <w:r w:rsidRPr="008C06D6">
              <w:t>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highlight w:val="yellow"/>
              </w:rPr>
            </w:pPr>
            <w:r w:rsidRPr="008C06D6">
              <w:t>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0</w:t>
            </w:r>
          </w:p>
        </w:tc>
      </w:tr>
      <w:tr w:rsidR="008D2731" w:rsidRPr="008C06D6" w:rsidTr="006077A9">
        <w:trPr>
          <w:trHeight w:val="267"/>
        </w:trPr>
        <w:tc>
          <w:tcPr>
            <w:tcW w:w="1496" w:type="dxa"/>
            <w:shd w:val="clear" w:color="auto" w:fill="C2D69B" w:themeFill="accent3" w:themeFillTint="99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CPDM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highlight w:val="yellow"/>
              </w:rPr>
            </w:pPr>
            <w:r w:rsidRPr="008C06D6">
              <w:t>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  <w:rPr>
                <w:highlight w:val="yellow"/>
              </w:rPr>
            </w:pPr>
            <w:r w:rsidRPr="008C06D6">
              <w:t>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2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D2731" w:rsidRPr="008C06D6" w:rsidRDefault="008D2731" w:rsidP="008D2731">
            <w:pPr>
              <w:pStyle w:val="ListParagraph"/>
              <w:ind w:left="0"/>
              <w:jc w:val="center"/>
            </w:pPr>
            <w:r w:rsidRPr="008C06D6">
              <w:t>200</w:t>
            </w:r>
          </w:p>
        </w:tc>
      </w:tr>
      <w:tr w:rsidR="008D2731" w:rsidRPr="008C06D6" w:rsidTr="006077A9">
        <w:trPr>
          <w:trHeight w:val="70"/>
        </w:trPr>
        <w:tc>
          <w:tcPr>
            <w:tcW w:w="1496" w:type="dxa"/>
            <w:shd w:val="clear" w:color="auto" w:fill="C2D69B" w:themeFill="accent3" w:themeFillTint="99"/>
          </w:tcPr>
          <w:p w:rsidR="008D2731" w:rsidRPr="000840BC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840BC">
              <w:rPr>
                <w:b/>
                <w:bCs/>
              </w:rPr>
              <w:t>Total</w:t>
            </w:r>
          </w:p>
        </w:tc>
        <w:tc>
          <w:tcPr>
            <w:tcW w:w="933" w:type="dxa"/>
            <w:shd w:val="clear" w:color="auto" w:fill="DAEEF3" w:themeFill="accent5" w:themeFillTint="33"/>
          </w:tcPr>
          <w:p w:rsidR="008D2731" w:rsidRPr="000840BC" w:rsidRDefault="008D2731" w:rsidP="008D2731">
            <w:pPr>
              <w:pStyle w:val="ListParagraph"/>
              <w:ind w:left="0"/>
              <w:jc w:val="center"/>
              <w:rPr>
                <w:b/>
                <w:bCs/>
                <w:highlight w:val="yellow"/>
              </w:rPr>
            </w:pPr>
            <w:r w:rsidRPr="000840BC">
              <w:rPr>
                <w:b/>
                <w:bCs/>
              </w:rPr>
              <w:t>13</w:t>
            </w:r>
          </w:p>
        </w:tc>
        <w:tc>
          <w:tcPr>
            <w:tcW w:w="966" w:type="dxa"/>
            <w:shd w:val="clear" w:color="auto" w:fill="DAEEF3" w:themeFill="accent5" w:themeFillTint="33"/>
          </w:tcPr>
          <w:p w:rsidR="008D2731" w:rsidRPr="000840BC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840BC">
              <w:rPr>
                <w:b/>
                <w:bCs/>
              </w:rPr>
              <w:t>12</w:t>
            </w:r>
          </w:p>
        </w:tc>
        <w:tc>
          <w:tcPr>
            <w:tcW w:w="1243" w:type="dxa"/>
            <w:shd w:val="clear" w:color="auto" w:fill="DAEEF3" w:themeFill="accent5" w:themeFillTint="33"/>
          </w:tcPr>
          <w:p w:rsidR="008D2731" w:rsidRPr="000840BC" w:rsidRDefault="008D2731" w:rsidP="008D2731">
            <w:pPr>
              <w:pStyle w:val="ListParagraph"/>
              <w:ind w:left="0"/>
              <w:jc w:val="center"/>
              <w:rPr>
                <w:b/>
                <w:bCs/>
                <w:highlight w:val="yellow"/>
              </w:rPr>
            </w:pPr>
            <w:r w:rsidRPr="000840BC">
              <w:rPr>
                <w:b/>
                <w:bCs/>
              </w:rPr>
              <w:t>8</w:t>
            </w:r>
          </w:p>
        </w:tc>
        <w:tc>
          <w:tcPr>
            <w:tcW w:w="725" w:type="dxa"/>
            <w:shd w:val="clear" w:color="auto" w:fill="EAF1DD" w:themeFill="accent3" w:themeFillTint="33"/>
          </w:tcPr>
          <w:p w:rsidR="008D2731" w:rsidRPr="000840BC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840BC">
              <w:rPr>
                <w:b/>
                <w:bCs/>
              </w:rPr>
              <w:t>51</w:t>
            </w:r>
          </w:p>
        </w:tc>
        <w:tc>
          <w:tcPr>
            <w:tcW w:w="725" w:type="dxa"/>
            <w:shd w:val="clear" w:color="auto" w:fill="EAF1DD" w:themeFill="accent3" w:themeFillTint="33"/>
          </w:tcPr>
          <w:p w:rsidR="008D2731" w:rsidRPr="000840BC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840BC">
              <w:rPr>
                <w:b/>
                <w:bCs/>
              </w:rPr>
              <w:t>58</w:t>
            </w:r>
          </w:p>
        </w:tc>
        <w:tc>
          <w:tcPr>
            <w:tcW w:w="1243" w:type="dxa"/>
            <w:shd w:val="clear" w:color="auto" w:fill="EAF1DD" w:themeFill="accent3" w:themeFillTint="33"/>
          </w:tcPr>
          <w:p w:rsidR="008D2731" w:rsidRPr="000840BC" w:rsidRDefault="008D2731" w:rsidP="008D27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840BC">
              <w:rPr>
                <w:b/>
                <w:bCs/>
              </w:rPr>
              <w:t>(12)</w:t>
            </w:r>
          </w:p>
        </w:tc>
      </w:tr>
    </w:tbl>
    <w:p w:rsidR="00EC3550" w:rsidRPr="0074631B" w:rsidRDefault="00C42219" w:rsidP="008D2731">
      <w:pPr>
        <w:pStyle w:val="Heading2"/>
        <w:numPr>
          <w:ilvl w:val="2"/>
          <w:numId w:val="42"/>
        </w:numPr>
        <w:spacing w:after="120"/>
        <w:rPr>
          <w:rFonts w:asciiTheme="minorHAnsi" w:hAnsiTheme="minorHAnsi"/>
          <w:color w:val="auto"/>
        </w:rPr>
      </w:pPr>
      <w:bookmarkStart w:id="4" w:name="_Toc440869348"/>
      <w:r w:rsidRPr="0074631B">
        <w:rPr>
          <w:rFonts w:asciiTheme="minorHAnsi" w:hAnsiTheme="minorHAnsi"/>
          <w:color w:val="auto"/>
        </w:rPr>
        <w:t xml:space="preserve">PDO % LTI </w:t>
      </w:r>
      <w:r w:rsidR="006B0F31" w:rsidRPr="0074631B">
        <w:rPr>
          <w:rFonts w:asciiTheme="minorHAnsi" w:hAnsiTheme="minorHAnsi"/>
          <w:color w:val="auto"/>
        </w:rPr>
        <w:t>P</w:t>
      </w:r>
      <w:r w:rsidRPr="0074631B">
        <w:rPr>
          <w:rFonts w:asciiTheme="minorHAnsi" w:hAnsiTheme="minorHAnsi"/>
          <w:color w:val="auto"/>
        </w:rPr>
        <w:t xml:space="preserve">rofile by </w:t>
      </w:r>
      <w:r w:rsidR="006B0F31" w:rsidRPr="0074631B">
        <w:rPr>
          <w:rFonts w:asciiTheme="minorHAnsi" w:hAnsiTheme="minorHAnsi"/>
          <w:color w:val="auto"/>
        </w:rPr>
        <w:t>D</w:t>
      </w:r>
      <w:r w:rsidR="000E5B6F" w:rsidRPr="0074631B">
        <w:rPr>
          <w:rFonts w:asciiTheme="minorHAnsi" w:hAnsiTheme="minorHAnsi"/>
          <w:color w:val="auto"/>
        </w:rPr>
        <w:t xml:space="preserve">irectorate </w:t>
      </w:r>
      <w:r w:rsidR="00BE1A60" w:rsidRPr="0074631B">
        <w:rPr>
          <w:rFonts w:asciiTheme="minorHAnsi" w:hAnsiTheme="minorHAnsi"/>
          <w:color w:val="auto"/>
        </w:rPr>
        <w:t>–</w:t>
      </w:r>
      <w:r w:rsidRPr="0074631B">
        <w:rPr>
          <w:rFonts w:asciiTheme="minorHAnsi" w:hAnsiTheme="minorHAnsi"/>
          <w:color w:val="auto"/>
        </w:rPr>
        <w:t xml:space="preserve"> </w:t>
      </w:r>
      <w:r w:rsidR="007875E4" w:rsidRPr="0074631B">
        <w:rPr>
          <w:rFonts w:asciiTheme="minorHAnsi" w:hAnsiTheme="minorHAnsi"/>
          <w:color w:val="auto"/>
        </w:rPr>
        <w:t>2014</w:t>
      </w:r>
      <w:r w:rsidR="00BE1A60" w:rsidRPr="0074631B">
        <w:rPr>
          <w:rFonts w:asciiTheme="minorHAnsi" w:hAnsiTheme="minorHAnsi"/>
          <w:color w:val="auto"/>
        </w:rPr>
        <w:t>/</w:t>
      </w:r>
      <w:r w:rsidR="007875E4" w:rsidRPr="0074631B">
        <w:rPr>
          <w:rFonts w:asciiTheme="minorHAnsi" w:hAnsiTheme="minorHAnsi"/>
          <w:color w:val="auto"/>
        </w:rPr>
        <w:t>2015</w:t>
      </w:r>
      <w:bookmarkEnd w:id="4"/>
    </w:p>
    <w:p w:rsidR="00B00CDD" w:rsidRPr="008C06D6" w:rsidRDefault="00F44196" w:rsidP="00B00CDD">
      <w:pPr>
        <w:rPr>
          <w:b/>
          <w:bCs/>
        </w:rPr>
      </w:pPr>
      <w:r w:rsidRPr="00F4419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.65pt;margin-top:2.1pt;width:412.6pt;height:226.4pt;z-index:251692032" stroked="f">
            <v:textbox style="mso-next-textbox:#_x0000_s1029">
              <w:txbxContent>
                <w:p w:rsidR="007F069D" w:rsidRDefault="007F069D">
                  <w:r w:rsidRPr="00C90A5A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4831605" cy="2775005"/>
                        <wp:effectExtent l="19050" t="0" r="26145" b="6295"/>
                        <wp:docPr id="2" name="Chart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  <w:p w:rsidR="007F069D" w:rsidRDefault="007F069D"/>
              </w:txbxContent>
            </v:textbox>
          </v:shape>
        </w:pict>
      </w:r>
    </w:p>
    <w:p w:rsidR="00B00CDD" w:rsidRPr="008C06D6" w:rsidRDefault="00B00CDD" w:rsidP="00B00CDD">
      <w:pPr>
        <w:ind w:left="720"/>
        <w:rPr>
          <w:b/>
          <w:bCs/>
        </w:rPr>
      </w:pPr>
    </w:p>
    <w:p w:rsidR="004F50F2" w:rsidRPr="008C06D6" w:rsidRDefault="004F50F2" w:rsidP="00AF673D">
      <w:pPr>
        <w:rPr>
          <w:b/>
          <w:bCs/>
        </w:rPr>
      </w:pPr>
    </w:p>
    <w:p w:rsidR="004F50F2" w:rsidRPr="008C06D6" w:rsidRDefault="004F50F2" w:rsidP="00AF673D">
      <w:pPr>
        <w:rPr>
          <w:b/>
          <w:bCs/>
        </w:rPr>
      </w:pPr>
    </w:p>
    <w:p w:rsidR="004F50F2" w:rsidRPr="008C06D6" w:rsidRDefault="004F50F2" w:rsidP="00AF673D">
      <w:pPr>
        <w:rPr>
          <w:b/>
          <w:bCs/>
        </w:rPr>
      </w:pPr>
    </w:p>
    <w:p w:rsidR="004F50F2" w:rsidRPr="008C06D6" w:rsidRDefault="004F50F2" w:rsidP="00AF673D">
      <w:pPr>
        <w:rPr>
          <w:b/>
          <w:bCs/>
        </w:rPr>
      </w:pPr>
    </w:p>
    <w:p w:rsidR="004F50F2" w:rsidRPr="008C06D6" w:rsidRDefault="004F50F2" w:rsidP="00AF673D">
      <w:pPr>
        <w:rPr>
          <w:b/>
          <w:bCs/>
        </w:rPr>
      </w:pPr>
    </w:p>
    <w:p w:rsidR="004F50F2" w:rsidRPr="008C06D6" w:rsidRDefault="004F50F2" w:rsidP="00AF673D">
      <w:pPr>
        <w:rPr>
          <w:b/>
          <w:bCs/>
        </w:rPr>
      </w:pPr>
    </w:p>
    <w:p w:rsidR="00EC3550" w:rsidRPr="008C06D6" w:rsidRDefault="00EC3550" w:rsidP="00AF673D">
      <w:pPr>
        <w:rPr>
          <w:b/>
          <w:bCs/>
        </w:rPr>
      </w:pPr>
    </w:p>
    <w:p w:rsidR="004216BA" w:rsidRPr="0074631B" w:rsidRDefault="000125CA" w:rsidP="00816857">
      <w:pPr>
        <w:pStyle w:val="Heading2"/>
        <w:numPr>
          <w:ilvl w:val="2"/>
          <w:numId w:val="42"/>
        </w:numPr>
        <w:spacing w:after="120"/>
        <w:rPr>
          <w:rFonts w:asciiTheme="minorHAnsi" w:hAnsiTheme="minorHAnsi"/>
          <w:color w:val="auto"/>
        </w:rPr>
      </w:pPr>
      <w:r w:rsidRPr="0074631B">
        <w:rPr>
          <w:color w:val="auto"/>
        </w:rPr>
        <w:br w:type="page"/>
      </w:r>
      <w:r w:rsidR="00F44196" w:rsidRPr="00F44196">
        <w:rPr>
          <w:rFonts w:asciiTheme="minorHAnsi" w:hAnsiTheme="minorHAnsi"/>
          <w:color w:val="auto"/>
        </w:rPr>
        <w:lastRenderedPageBreak/>
        <w:pict>
          <v:shape id="_x0000_s1031" type="#_x0000_t202" style="position:absolute;left:0;text-align:left;margin-left:7.1pt;margin-top:15.7pt;width:411.3pt;height:235.55pt;z-index:251696128" stroked="f">
            <v:textbox style="mso-next-textbox:#_x0000_s1031">
              <w:txbxContent>
                <w:p w:rsidR="007F069D" w:rsidRDefault="007F069D">
                  <w:r w:rsidRPr="000E5B6F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4950515" cy="2790908"/>
                        <wp:effectExtent l="19050" t="0" r="21535" b="9442"/>
                        <wp:docPr id="4" name="Chart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bookmarkStart w:id="5" w:name="_Toc440869349"/>
      <w:r w:rsidR="008F0321" w:rsidRPr="0074631B">
        <w:rPr>
          <w:rFonts w:asciiTheme="minorHAnsi" w:hAnsiTheme="minorHAnsi"/>
          <w:color w:val="auto"/>
        </w:rPr>
        <w:t>LTIs</w:t>
      </w:r>
      <w:r w:rsidR="00D0603E" w:rsidRPr="0074631B">
        <w:rPr>
          <w:rFonts w:asciiTheme="minorHAnsi" w:hAnsiTheme="minorHAnsi"/>
          <w:color w:val="auto"/>
        </w:rPr>
        <w:t xml:space="preserve"> </w:t>
      </w:r>
      <w:r w:rsidR="00BE1A60" w:rsidRPr="0074631B">
        <w:rPr>
          <w:rFonts w:asciiTheme="minorHAnsi" w:hAnsiTheme="minorHAnsi"/>
          <w:color w:val="auto"/>
        </w:rPr>
        <w:t>T</w:t>
      </w:r>
      <w:r w:rsidR="00D0603E" w:rsidRPr="0074631B">
        <w:rPr>
          <w:rFonts w:asciiTheme="minorHAnsi" w:hAnsiTheme="minorHAnsi"/>
          <w:color w:val="auto"/>
        </w:rPr>
        <w:t>rend</w:t>
      </w:r>
      <w:r w:rsidR="008F0321" w:rsidRPr="0074631B">
        <w:rPr>
          <w:rFonts w:asciiTheme="minorHAnsi" w:hAnsiTheme="minorHAnsi"/>
          <w:color w:val="auto"/>
        </w:rPr>
        <w:t xml:space="preserve"> by</w:t>
      </w:r>
      <w:r w:rsidR="004216BA" w:rsidRPr="0074631B">
        <w:rPr>
          <w:rFonts w:asciiTheme="minorHAnsi" w:hAnsiTheme="minorHAnsi"/>
          <w:color w:val="auto"/>
        </w:rPr>
        <w:t xml:space="preserve"> </w:t>
      </w:r>
      <w:r w:rsidR="00BE1A60" w:rsidRPr="0074631B">
        <w:rPr>
          <w:rFonts w:asciiTheme="minorHAnsi" w:hAnsiTheme="minorHAnsi"/>
          <w:color w:val="auto"/>
        </w:rPr>
        <w:t>Q</w:t>
      </w:r>
      <w:r w:rsidR="00A21A2C" w:rsidRPr="0074631B">
        <w:rPr>
          <w:rFonts w:asciiTheme="minorHAnsi" w:hAnsiTheme="minorHAnsi"/>
          <w:color w:val="auto"/>
        </w:rPr>
        <w:t>uarter</w:t>
      </w:r>
      <w:r w:rsidR="00D0603E" w:rsidRPr="0074631B">
        <w:rPr>
          <w:rFonts w:asciiTheme="minorHAnsi" w:hAnsiTheme="minorHAnsi"/>
          <w:color w:val="auto"/>
        </w:rPr>
        <w:t xml:space="preserve"> 2014/2015</w:t>
      </w:r>
      <w:bookmarkEnd w:id="5"/>
    </w:p>
    <w:p w:rsidR="00667E4B" w:rsidRPr="008C06D6" w:rsidRDefault="00667E4B" w:rsidP="004216BA">
      <w:pPr>
        <w:ind w:left="720"/>
        <w:rPr>
          <w:b/>
          <w:bCs/>
        </w:rPr>
      </w:pPr>
    </w:p>
    <w:p w:rsidR="00667E4B" w:rsidRPr="008C06D6" w:rsidRDefault="00667E4B" w:rsidP="004216BA">
      <w:pPr>
        <w:ind w:left="720"/>
        <w:rPr>
          <w:b/>
          <w:bCs/>
        </w:rPr>
      </w:pPr>
    </w:p>
    <w:p w:rsidR="00667E4B" w:rsidRPr="008C06D6" w:rsidRDefault="00667E4B" w:rsidP="004216BA">
      <w:pPr>
        <w:ind w:left="720"/>
        <w:rPr>
          <w:b/>
          <w:bCs/>
        </w:rPr>
      </w:pPr>
    </w:p>
    <w:p w:rsidR="00667E4B" w:rsidRPr="008C06D6" w:rsidRDefault="00667E4B" w:rsidP="004216BA">
      <w:pPr>
        <w:ind w:left="720"/>
        <w:rPr>
          <w:b/>
          <w:bCs/>
        </w:rPr>
      </w:pPr>
    </w:p>
    <w:p w:rsidR="00667E4B" w:rsidRPr="008C06D6" w:rsidRDefault="00667E4B" w:rsidP="004216BA">
      <w:pPr>
        <w:ind w:left="720"/>
        <w:rPr>
          <w:b/>
          <w:bCs/>
        </w:rPr>
      </w:pPr>
    </w:p>
    <w:p w:rsidR="00667E4B" w:rsidRPr="008C06D6" w:rsidRDefault="00667E4B" w:rsidP="004216BA">
      <w:pPr>
        <w:ind w:left="720"/>
        <w:rPr>
          <w:b/>
          <w:bCs/>
        </w:rPr>
      </w:pPr>
    </w:p>
    <w:p w:rsidR="00667E4B" w:rsidRPr="008C06D6" w:rsidRDefault="00667E4B" w:rsidP="004216BA">
      <w:pPr>
        <w:ind w:left="720"/>
        <w:rPr>
          <w:b/>
          <w:bCs/>
        </w:rPr>
      </w:pPr>
    </w:p>
    <w:p w:rsidR="00667E4B" w:rsidRPr="008C06D6" w:rsidRDefault="00667E4B" w:rsidP="004216BA">
      <w:pPr>
        <w:ind w:left="720"/>
        <w:rPr>
          <w:b/>
          <w:bCs/>
        </w:rPr>
      </w:pPr>
    </w:p>
    <w:p w:rsidR="00285C33" w:rsidRPr="008C06D6" w:rsidRDefault="00285C33" w:rsidP="00AF673D">
      <w:pPr>
        <w:rPr>
          <w:b/>
          <w:bCs/>
        </w:rPr>
      </w:pPr>
    </w:p>
    <w:p w:rsidR="00684698" w:rsidRPr="0074631B" w:rsidRDefault="00E17E13" w:rsidP="008D2731">
      <w:pPr>
        <w:pStyle w:val="Heading2"/>
        <w:numPr>
          <w:ilvl w:val="1"/>
          <w:numId w:val="42"/>
        </w:numPr>
        <w:spacing w:before="240" w:after="120"/>
        <w:rPr>
          <w:rFonts w:asciiTheme="minorHAnsi" w:hAnsiTheme="minorHAnsi"/>
          <w:color w:val="auto"/>
        </w:rPr>
      </w:pPr>
      <w:bookmarkStart w:id="6" w:name="_Toc440869350"/>
      <w:r w:rsidRPr="0074631B">
        <w:rPr>
          <w:rFonts w:asciiTheme="minorHAnsi" w:hAnsiTheme="minorHAnsi"/>
          <w:color w:val="auto"/>
        </w:rPr>
        <w:t xml:space="preserve">LTIs </w:t>
      </w:r>
      <w:proofErr w:type="gramStart"/>
      <w:r w:rsidR="00BE1A60" w:rsidRPr="0074631B">
        <w:rPr>
          <w:rFonts w:asciiTheme="minorHAnsi" w:hAnsiTheme="minorHAnsi"/>
          <w:color w:val="auto"/>
        </w:rPr>
        <w:t>P</w:t>
      </w:r>
      <w:r w:rsidRPr="0074631B">
        <w:rPr>
          <w:rFonts w:asciiTheme="minorHAnsi" w:hAnsiTheme="minorHAnsi"/>
          <w:color w:val="auto"/>
        </w:rPr>
        <w:t>er</w:t>
      </w:r>
      <w:proofErr w:type="gramEnd"/>
      <w:r w:rsidRPr="0074631B">
        <w:rPr>
          <w:rFonts w:asciiTheme="minorHAnsi" w:hAnsiTheme="minorHAnsi"/>
          <w:color w:val="auto"/>
        </w:rPr>
        <w:t xml:space="preserve"> Operational </w:t>
      </w:r>
      <w:r w:rsidR="008610D0" w:rsidRPr="0074631B">
        <w:rPr>
          <w:rFonts w:asciiTheme="minorHAnsi" w:hAnsiTheme="minorHAnsi"/>
          <w:color w:val="auto"/>
        </w:rPr>
        <w:t>Team</w:t>
      </w:r>
      <w:bookmarkEnd w:id="6"/>
    </w:p>
    <w:tbl>
      <w:tblPr>
        <w:tblStyle w:val="TableGrid"/>
        <w:tblW w:w="0" w:type="auto"/>
        <w:tblInd w:w="738" w:type="dxa"/>
        <w:shd w:val="clear" w:color="auto" w:fill="C2D69B" w:themeFill="accent3" w:themeFillTint="99"/>
        <w:tblLook w:val="04A0"/>
      </w:tblPr>
      <w:tblGrid>
        <w:gridCol w:w="810"/>
        <w:gridCol w:w="1350"/>
        <w:gridCol w:w="5670"/>
      </w:tblGrid>
      <w:tr w:rsidR="001C6C0D" w:rsidRPr="008C06D6" w:rsidTr="00B45A78">
        <w:trPr>
          <w:trHeight w:val="377"/>
        </w:trPr>
        <w:tc>
          <w:tcPr>
            <w:tcW w:w="810" w:type="dxa"/>
            <w:shd w:val="clear" w:color="auto" w:fill="C2D69B" w:themeFill="accent3" w:themeFillTint="99"/>
          </w:tcPr>
          <w:p w:rsidR="001C6C0D" w:rsidRPr="008C06D6" w:rsidRDefault="001C6C0D" w:rsidP="007A714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Sr. No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1C6C0D" w:rsidRPr="008C06D6" w:rsidRDefault="001C6C0D" w:rsidP="007A714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Directorate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1C6C0D" w:rsidRPr="008C06D6" w:rsidRDefault="001C6C0D" w:rsidP="007A7146">
            <w:pPr>
              <w:pStyle w:val="ListParagraph"/>
              <w:ind w:left="0"/>
              <w:rPr>
                <w:b/>
                <w:bCs/>
              </w:rPr>
            </w:pPr>
            <w:r w:rsidRPr="008C06D6">
              <w:rPr>
                <w:b/>
                <w:bCs/>
              </w:rPr>
              <w:t>No of LTIs -Team</w:t>
            </w:r>
          </w:p>
        </w:tc>
      </w:tr>
      <w:tr w:rsidR="001C6C0D" w:rsidRPr="008C06D6" w:rsidTr="00BE1A60">
        <w:trPr>
          <w:trHeight w:val="296"/>
        </w:trPr>
        <w:tc>
          <w:tcPr>
            <w:tcW w:w="810" w:type="dxa"/>
            <w:shd w:val="clear" w:color="auto" w:fill="C2D69B" w:themeFill="accent3" w:themeFillTint="99"/>
            <w:vAlign w:val="center"/>
          </w:tcPr>
          <w:p w:rsidR="001C6C0D" w:rsidRPr="008C06D6" w:rsidRDefault="001C6C0D" w:rsidP="007A7146">
            <w:pPr>
              <w:pStyle w:val="ListParagraph"/>
              <w:ind w:left="0"/>
              <w:jc w:val="center"/>
            </w:pPr>
            <w:r w:rsidRPr="008C06D6">
              <w:t>1</w:t>
            </w:r>
          </w:p>
        </w:tc>
        <w:tc>
          <w:tcPr>
            <w:tcW w:w="1350" w:type="dxa"/>
            <w:shd w:val="clear" w:color="auto" w:fill="C2D69B" w:themeFill="accent3" w:themeFillTint="99"/>
            <w:vAlign w:val="center"/>
          </w:tcPr>
          <w:p w:rsidR="001C6C0D" w:rsidRPr="008C06D6" w:rsidRDefault="001C6C0D" w:rsidP="007A7146">
            <w:pPr>
              <w:pStyle w:val="ListParagraph"/>
              <w:ind w:left="0"/>
              <w:jc w:val="center"/>
            </w:pPr>
            <w:r w:rsidRPr="008C06D6">
              <w:t>UWD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C6C0D" w:rsidRPr="008C06D6" w:rsidRDefault="001C6C0D" w:rsidP="00196039">
            <w:r w:rsidRPr="008C06D6">
              <w:rPr>
                <w:b/>
                <w:bCs/>
              </w:rPr>
              <w:t>1</w:t>
            </w:r>
            <w:r w:rsidRPr="008C06D6">
              <w:t xml:space="preserve">- UWX, </w:t>
            </w:r>
            <w:r w:rsidRPr="008C06D6">
              <w:rPr>
                <w:b/>
                <w:bCs/>
              </w:rPr>
              <w:t>16</w:t>
            </w:r>
            <w:r w:rsidRPr="008C06D6">
              <w:t xml:space="preserve">- UWO, </w:t>
            </w:r>
            <w:r w:rsidRPr="008C06D6">
              <w:rPr>
                <w:b/>
                <w:bCs/>
              </w:rPr>
              <w:t>7</w:t>
            </w:r>
            <w:r w:rsidRPr="008C06D6">
              <w:t xml:space="preserve">-UWL, </w:t>
            </w:r>
            <w:r w:rsidRPr="008C06D6">
              <w:rPr>
                <w:b/>
                <w:bCs/>
              </w:rPr>
              <w:t>2</w:t>
            </w:r>
            <w:r w:rsidRPr="008C06D6">
              <w:t xml:space="preserve">-UWB, </w:t>
            </w:r>
            <w:r w:rsidRPr="008C06D6">
              <w:rPr>
                <w:b/>
                <w:bCs/>
              </w:rPr>
              <w:t>1</w:t>
            </w:r>
            <w:r w:rsidRPr="008C06D6">
              <w:t xml:space="preserve">-UWS, </w:t>
            </w:r>
            <w:r w:rsidRPr="008C06D6">
              <w:rPr>
                <w:b/>
                <w:bCs/>
              </w:rPr>
              <w:t>2</w:t>
            </w:r>
            <w:r w:rsidRPr="008C06D6">
              <w:t xml:space="preserve">-UWI, </w:t>
            </w:r>
            <w:r w:rsidR="00196039" w:rsidRPr="008C06D6">
              <w:rPr>
                <w:b/>
                <w:bCs/>
              </w:rPr>
              <w:t>8</w:t>
            </w:r>
            <w:r w:rsidRPr="008C06D6">
              <w:t>-UWC</w:t>
            </w:r>
          </w:p>
        </w:tc>
      </w:tr>
      <w:tr w:rsidR="001C6C0D" w:rsidRPr="008C06D6" w:rsidTr="00BE1A60">
        <w:trPr>
          <w:trHeight w:val="260"/>
        </w:trPr>
        <w:tc>
          <w:tcPr>
            <w:tcW w:w="810" w:type="dxa"/>
            <w:shd w:val="clear" w:color="auto" w:fill="C2D69B" w:themeFill="accent3" w:themeFillTint="99"/>
            <w:vAlign w:val="center"/>
          </w:tcPr>
          <w:p w:rsidR="001C6C0D" w:rsidRPr="008C06D6" w:rsidRDefault="001C6C0D" w:rsidP="007A7146">
            <w:pPr>
              <w:pStyle w:val="ListParagraph"/>
              <w:ind w:left="0"/>
              <w:jc w:val="center"/>
            </w:pPr>
            <w:r w:rsidRPr="008C06D6">
              <w:t>2</w:t>
            </w:r>
          </w:p>
        </w:tc>
        <w:tc>
          <w:tcPr>
            <w:tcW w:w="1350" w:type="dxa"/>
            <w:shd w:val="clear" w:color="auto" w:fill="C2D69B" w:themeFill="accent3" w:themeFillTint="99"/>
            <w:vAlign w:val="center"/>
          </w:tcPr>
          <w:p w:rsidR="001C6C0D" w:rsidRPr="008C06D6" w:rsidRDefault="001C6C0D" w:rsidP="007A7146">
            <w:pPr>
              <w:pStyle w:val="ListParagraph"/>
              <w:ind w:left="0"/>
              <w:jc w:val="center"/>
            </w:pPr>
            <w:r w:rsidRPr="008C06D6">
              <w:t>CPDM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C6C0D" w:rsidRPr="008C06D6" w:rsidRDefault="001C6C0D" w:rsidP="007A7146">
            <w:pPr>
              <w:rPr>
                <w:b/>
                <w:bCs/>
              </w:rPr>
            </w:pPr>
            <w:r w:rsidRPr="008C06D6">
              <w:rPr>
                <w:b/>
                <w:bCs/>
              </w:rPr>
              <w:t>2-</w:t>
            </w:r>
            <w:r w:rsidRPr="008C06D6">
              <w:t>CRC</w:t>
            </w:r>
          </w:p>
        </w:tc>
      </w:tr>
      <w:tr w:rsidR="001C6C0D" w:rsidRPr="008C06D6" w:rsidTr="00BE1A60">
        <w:trPr>
          <w:trHeight w:val="242"/>
        </w:trPr>
        <w:tc>
          <w:tcPr>
            <w:tcW w:w="810" w:type="dxa"/>
            <w:shd w:val="clear" w:color="auto" w:fill="C2D69B" w:themeFill="accent3" w:themeFillTint="99"/>
            <w:vAlign w:val="center"/>
          </w:tcPr>
          <w:p w:rsidR="001C6C0D" w:rsidRPr="008C06D6" w:rsidRDefault="001C6C0D" w:rsidP="007A7146">
            <w:pPr>
              <w:pStyle w:val="ListParagraph"/>
              <w:ind w:left="0"/>
              <w:jc w:val="center"/>
            </w:pPr>
            <w:r w:rsidRPr="008C06D6">
              <w:t>3</w:t>
            </w:r>
          </w:p>
        </w:tc>
        <w:tc>
          <w:tcPr>
            <w:tcW w:w="1350" w:type="dxa"/>
            <w:shd w:val="clear" w:color="auto" w:fill="C2D69B" w:themeFill="accent3" w:themeFillTint="99"/>
            <w:vAlign w:val="center"/>
          </w:tcPr>
          <w:p w:rsidR="001C6C0D" w:rsidRPr="008C06D6" w:rsidRDefault="001C6C0D" w:rsidP="007A7146">
            <w:pPr>
              <w:pStyle w:val="ListParagraph"/>
              <w:ind w:left="0"/>
              <w:jc w:val="center"/>
            </w:pPr>
            <w:r w:rsidRPr="008C06D6">
              <w:t>UID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C6C0D" w:rsidRPr="008C06D6" w:rsidRDefault="001C6C0D" w:rsidP="007A7146">
            <w:pPr>
              <w:rPr>
                <w:b/>
                <w:bCs/>
              </w:rPr>
            </w:pPr>
            <w:r w:rsidRPr="008C06D6">
              <w:rPr>
                <w:b/>
                <w:bCs/>
              </w:rPr>
              <w:t>1-</w:t>
            </w:r>
            <w:r w:rsidRPr="008C06D6">
              <w:t xml:space="preserve">UIR, </w:t>
            </w:r>
            <w:r w:rsidRPr="008C06D6">
              <w:rPr>
                <w:b/>
                <w:bCs/>
              </w:rPr>
              <w:t>4</w:t>
            </w:r>
            <w:r w:rsidRPr="008C06D6">
              <w:t xml:space="preserve">-UIB, </w:t>
            </w:r>
            <w:r w:rsidRPr="008C06D6">
              <w:rPr>
                <w:b/>
                <w:bCs/>
              </w:rPr>
              <w:t>2</w:t>
            </w:r>
            <w:r w:rsidRPr="008C06D6">
              <w:t xml:space="preserve">-UIE, </w:t>
            </w:r>
            <w:r w:rsidRPr="008C06D6">
              <w:rPr>
                <w:b/>
                <w:bCs/>
              </w:rPr>
              <w:t>1</w:t>
            </w:r>
            <w:r w:rsidRPr="008C06D6">
              <w:t>-UIPT</w:t>
            </w:r>
          </w:p>
        </w:tc>
      </w:tr>
      <w:tr w:rsidR="001C6C0D" w:rsidRPr="008C06D6" w:rsidTr="00BE1A60">
        <w:trPr>
          <w:trHeight w:val="332"/>
        </w:trPr>
        <w:tc>
          <w:tcPr>
            <w:tcW w:w="810" w:type="dxa"/>
            <w:shd w:val="clear" w:color="auto" w:fill="C2D69B" w:themeFill="accent3" w:themeFillTint="99"/>
            <w:vAlign w:val="center"/>
          </w:tcPr>
          <w:p w:rsidR="001C6C0D" w:rsidRPr="008C06D6" w:rsidRDefault="001C6C0D" w:rsidP="007A7146">
            <w:pPr>
              <w:pStyle w:val="ListParagraph"/>
              <w:ind w:left="0"/>
              <w:jc w:val="center"/>
            </w:pPr>
            <w:r w:rsidRPr="008C06D6">
              <w:t>4</w:t>
            </w:r>
          </w:p>
        </w:tc>
        <w:tc>
          <w:tcPr>
            <w:tcW w:w="1350" w:type="dxa"/>
            <w:shd w:val="clear" w:color="auto" w:fill="C2D69B" w:themeFill="accent3" w:themeFillTint="99"/>
            <w:vAlign w:val="center"/>
          </w:tcPr>
          <w:p w:rsidR="001C6C0D" w:rsidRPr="008C06D6" w:rsidRDefault="001C6C0D" w:rsidP="007A7146">
            <w:pPr>
              <w:pStyle w:val="ListParagraph"/>
              <w:ind w:left="0"/>
              <w:jc w:val="center"/>
            </w:pPr>
            <w:r w:rsidRPr="008C06D6">
              <w:t>XD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C6C0D" w:rsidRPr="008C06D6" w:rsidRDefault="001C6C0D" w:rsidP="007A7146">
            <w:pPr>
              <w:rPr>
                <w:b/>
                <w:bCs/>
              </w:rPr>
            </w:pPr>
            <w:r w:rsidRPr="008C06D6">
              <w:rPr>
                <w:b/>
                <w:bCs/>
              </w:rPr>
              <w:t>1-</w:t>
            </w:r>
            <w:r w:rsidRPr="008C06D6">
              <w:t>XGO</w:t>
            </w:r>
          </w:p>
        </w:tc>
      </w:tr>
      <w:tr w:rsidR="001C6C0D" w:rsidRPr="008C06D6" w:rsidTr="00BE1A60">
        <w:trPr>
          <w:trHeight w:val="332"/>
        </w:trPr>
        <w:tc>
          <w:tcPr>
            <w:tcW w:w="810" w:type="dxa"/>
            <w:shd w:val="clear" w:color="auto" w:fill="C2D69B" w:themeFill="accent3" w:themeFillTint="99"/>
            <w:vAlign w:val="center"/>
          </w:tcPr>
          <w:p w:rsidR="001C6C0D" w:rsidRPr="008C06D6" w:rsidRDefault="001C6C0D" w:rsidP="007A7146">
            <w:pPr>
              <w:pStyle w:val="ListParagraph"/>
              <w:ind w:left="0"/>
              <w:jc w:val="center"/>
            </w:pPr>
            <w:r w:rsidRPr="008C06D6">
              <w:t>5</w:t>
            </w:r>
          </w:p>
        </w:tc>
        <w:tc>
          <w:tcPr>
            <w:tcW w:w="1350" w:type="dxa"/>
            <w:shd w:val="clear" w:color="auto" w:fill="C2D69B" w:themeFill="accent3" w:themeFillTint="99"/>
            <w:vAlign w:val="center"/>
          </w:tcPr>
          <w:p w:rsidR="001C6C0D" w:rsidRPr="008C06D6" w:rsidRDefault="001C6C0D" w:rsidP="007A7146">
            <w:pPr>
              <w:pStyle w:val="ListParagraph"/>
              <w:ind w:left="0"/>
              <w:jc w:val="center"/>
            </w:pPr>
            <w:r w:rsidRPr="008C06D6">
              <w:t>OSD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C6C0D" w:rsidRPr="008C06D6" w:rsidRDefault="001C6C0D" w:rsidP="007A7146">
            <w:pPr>
              <w:rPr>
                <w:b/>
                <w:bCs/>
              </w:rPr>
            </w:pPr>
            <w:r w:rsidRPr="008C06D6">
              <w:rPr>
                <w:b/>
                <w:bCs/>
              </w:rPr>
              <w:t>2-</w:t>
            </w:r>
            <w:r w:rsidRPr="008C06D6">
              <w:t>OSC</w:t>
            </w:r>
            <w:r w:rsidR="00261EE9" w:rsidRPr="008C06D6">
              <w:t xml:space="preserve">, </w:t>
            </w:r>
            <w:r w:rsidR="00261EE9" w:rsidRPr="008C06D6">
              <w:rPr>
                <w:b/>
                <w:bCs/>
              </w:rPr>
              <w:t>1</w:t>
            </w:r>
            <w:r w:rsidR="00261EE9" w:rsidRPr="008C06D6">
              <w:t>-OSO</w:t>
            </w:r>
          </w:p>
        </w:tc>
      </w:tr>
    </w:tbl>
    <w:p w:rsidR="008610D0" w:rsidRPr="0074631B" w:rsidRDefault="008610D0" w:rsidP="000125CA">
      <w:pPr>
        <w:pStyle w:val="Heading2"/>
        <w:numPr>
          <w:ilvl w:val="1"/>
          <w:numId w:val="42"/>
        </w:numPr>
        <w:spacing w:before="240" w:after="120"/>
        <w:rPr>
          <w:rFonts w:asciiTheme="minorHAnsi" w:hAnsiTheme="minorHAnsi"/>
          <w:color w:val="auto"/>
        </w:rPr>
      </w:pPr>
      <w:bookmarkStart w:id="7" w:name="_Toc440869351"/>
      <w:r w:rsidRPr="0074631B">
        <w:rPr>
          <w:rFonts w:asciiTheme="minorHAnsi" w:hAnsiTheme="minorHAnsi"/>
          <w:color w:val="auto"/>
        </w:rPr>
        <w:t>PDO v Contractor</w:t>
      </w:r>
      <w:r w:rsidR="00C42219" w:rsidRPr="0074631B">
        <w:rPr>
          <w:rFonts w:asciiTheme="minorHAnsi" w:hAnsiTheme="minorHAnsi"/>
          <w:color w:val="auto"/>
        </w:rPr>
        <w:t xml:space="preserve"> LTIs</w:t>
      </w:r>
      <w:bookmarkEnd w:id="7"/>
      <w:r w:rsidRPr="0074631B">
        <w:rPr>
          <w:rFonts w:asciiTheme="minorHAnsi" w:hAnsiTheme="minorHAnsi"/>
          <w:color w:val="auto"/>
        </w:rPr>
        <w:t xml:space="preserve"> </w:t>
      </w:r>
    </w:p>
    <w:p w:rsidR="00A542A3" w:rsidRPr="008C06D6" w:rsidRDefault="0003431C" w:rsidP="00196039">
      <w:pPr>
        <w:pStyle w:val="ListParagraph"/>
        <w:numPr>
          <w:ilvl w:val="1"/>
          <w:numId w:val="34"/>
        </w:numPr>
      </w:pPr>
      <w:r w:rsidRPr="008C06D6">
        <w:t xml:space="preserve"> </w:t>
      </w:r>
      <w:r w:rsidR="00CA0EA2" w:rsidRPr="008C06D6">
        <w:t xml:space="preserve">  </w:t>
      </w:r>
      <w:r w:rsidR="00261EE9" w:rsidRPr="008C06D6">
        <w:t>5</w:t>
      </w:r>
      <w:r w:rsidR="00196039" w:rsidRPr="008C06D6">
        <w:t>1</w:t>
      </w:r>
      <w:r w:rsidR="008B1E8B" w:rsidRPr="008C06D6">
        <w:t xml:space="preserve"> </w:t>
      </w:r>
      <w:r w:rsidR="00A542A3" w:rsidRPr="008C06D6">
        <w:t>- PDO contractor</w:t>
      </w:r>
      <w:r w:rsidR="00C42219" w:rsidRPr="008C06D6">
        <w:t xml:space="preserve"> employee</w:t>
      </w:r>
      <w:r w:rsidR="00515A85" w:rsidRPr="008C06D6">
        <w:t>s</w:t>
      </w:r>
    </w:p>
    <w:p w:rsidR="007779A0" w:rsidRPr="008C06D6" w:rsidRDefault="0003431C" w:rsidP="004F50F2">
      <w:pPr>
        <w:pStyle w:val="ListParagraph"/>
        <w:numPr>
          <w:ilvl w:val="1"/>
          <w:numId w:val="34"/>
        </w:numPr>
        <w:rPr>
          <w:b/>
          <w:bCs/>
        </w:rPr>
      </w:pPr>
      <w:r w:rsidRPr="008C06D6">
        <w:t xml:space="preserve"> </w:t>
      </w:r>
      <w:r w:rsidR="00CA0EA2" w:rsidRPr="008C06D6">
        <w:t xml:space="preserve">   </w:t>
      </w:r>
      <w:r w:rsidR="0029496D" w:rsidRPr="008C06D6">
        <w:t>0</w:t>
      </w:r>
      <w:r w:rsidR="00CA0EA2" w:rsidRPr="008C06D6">
        <w:t xml:space="preserve"> - </w:t>
      </w:r>
      <w:r w:rsidR="00A542A3" w:rsidRPr="008C06D6">
        <w:t>PDO employee</w:t>
      </w:r>
      <w:r w:rsidR="00C42219" w:rsidRPr="008C06D6">
        <w:t>s</w:t>
      </w:r>
    </w:p>
    <w:p w:rsidR="00317FB3" w:rsidRDefault="00317FB3">
      <w:pPr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675B41" w:rsidRPr="0074631B" w:rsidRDefault="00BE1A60" w:rsidP="00937D62">
      <w:pPr>
        <w:pStyle w:val="Heading2"/>
        <w:numPr>
          <w:ilvl w:val="1"/>
          <w:numId w:val="42"/>
        </w:numPr>
        <w:spacing w:before="240" w:after="120"/>
        <w:rPr>
          <w:rFonts w:asciiTheme="minorHAnsi" w:hAnsiTheme="minorHAnsi"/>
          <w:color w:val="auto"/>
        </w:rPr>
      </w:pPr>
      <w:bookmarkStart w:id="8" w:name="_Toc440869352"/>
      <w:r w:rsidRPr="0074631B">
        <w:rPr>
          <w:rFonts w:asciiTheme="minorHAnsi" w:hAnsiTheme="minorHAnsi"/>
          <w:color w:val="auto"/>
        </w:rPr>
        <w:lastRenderedPageBreak/>
        <w:t>C</w:t>
      </w:r>
      <w:r w:rsidR="00D0603E" w:rsidRPr="0074631B">
        <w:rPr>
          <w:rFonts w:asciiTheme="minorHAnsi" w:hAnsiTheme="minorHAnsi"/>
          <w:color w:val="auto"/>
        </w:rPr>
        <w:t xml:space="preserve">ontractors </w:t>
      </w:r>
      <w:r w:rsidR="00937D62">
        <w:rPr>
          <w:rFonts w:asciiTheme="minorHAnsi" w:hAnsiTheme="minorHAnsi"/>
          <w:color w:val="auto"/>
        </w:rPr>
        <w:t>W</w:t>
      </w:r>
      <w:r w:rsidR="007D7612" w:rsidRPr="0074631B">
        <w:rPr>
          <w:rFonts w:asciiTheme="minorHAnsi" w:hAnsiTheme="minorHAnsi"/>
          <w:color w:val="auto"/>
        </w:rPr>
        <w:t>ith</w:t>
      </w:r>
      <w:r w:rsidR="00D0603E" w:rsidRPr="0074631B">
        <w:rPr>
          <w:rFonts w:asciiTheme="minorHAnsi" w:hAnsiTheme="minorHAnsi"/>
          <w:color w:val="auto"/>
        </w:rPr>
        <w:t xml:space="preserve"> </w:t>
      </w:r>
      <w:r w:rsidR="00937D62">
        <w:rPr>
          <w:rFonts w:asciiTheme="minorHAnsi" w:hAnsiTheme="minorHAnsi"/>
          <w:color w:val="auto"/>
        </w:rPr>
        <w:t>t</w:t>
      </w:r>
      <w:r w:rsidR="00D0603E" w:rsidRPr="0074631B">
        <w:rPr>
          <w:rFonts w:asciiTheme="minorHAnsi" w:hAnsiTheme="minorHAnsi"/>
          <w:color w:val="auto"/>
        </w:rPr>
        <w:t xml:space="preserve">he </w:t>
      </w:r>
      <w:r w:rsidRPr="0074631B">
        <w:rPr>
          <w:rFonts w:asciiTheme="minorHAnsi" w:hAnsiTheme="minorHAnsi"/>
          <w:color w:val="auto"/>
        </w:rPr>
        <w:t>W</w:t>
      </w:r>
      <w:r w:rsidR="00D0603E" w:rsidRPr="0074631B">
        <w:rPr>
          <w:rFonts w:asciiTheme="minorHAnsi" w:hAnsiTheme="minorHAnsi"/>
          <w:color w:val="auto"/>
        </w:rPr>
        <w:t xml:space="preserve">orst </w:t>
      </w:r>
      <w:r w:rsidRPr="0074631B">
        <w:rPr>
          <w:rFonts w:asciiTheme="minorHAnsi" w:hAnsiTheme="minorHAnsi"/>
          <w:color w:val="auto"/>
        </w:rPr>
        <w:t>I</w:t>
      </w:r>
      <w:r w:rsidR="00C17965">
        <w:rPr>
          <w:rFonts w:asciiTheme="minorHAnsi" w:hAnsiTheme="minorHAnsi"/>
          <w:color w:val="auto"/>
        </w:rPr>
        <w:t>ncident Performance</w:t>
      </w:r>
      <w:bookmarkEnd w:id="8"/>
    </w:p>
    <w:p w:rsidR="009078A3" w:rsidRDefault="00E76345" w:rsidP="000B278F">
      <w:pPr>
        <w:pStyle w:val="ListParagraph"/>
        <w:ind w:left="360"/>
      </w:pPr>
      <w:r w:rsidRPr="008C06D6">
        <w:t xml:space="preserve">There are </w:t>
      </w:r>
      <w:r w:rsidR="00694D07" w:rsidRPr="008C06D6">
        <w:t>3</w:t>
      </w:r>
      <w:r w:rsidR="009162D9" w:rsidRPr="008C06D6">
        <w:t>1</w:t>
      </w:r>
      <w:r w:rsidR="009078A3" w:rsidRPr="008C06D6">
        <w:t xml:space="preserve"> contrac</w:t>
      </w:r>
      <w:r w:rsidR="000B278F" w:rsidRPr="008C06D6">
        <w:t>tors who suffered LTI incidents</w:t>
      </w:r>
      <w:r w:rsidR="00D0603E" w:rsidRPr="008C06D6">
        <w:t xml:space="preserve">. </w:t>
      </w:r>
      <w:r w:rsidR="009078A3" w:rsidRPr="008C06D6">
        <w:t>The breakdown is as follows:-</w:t>
      </w:r>
      <w:r w:rsidR="009913BB" w:rsidRPr="008C06D6">
        <w:t xml:space="preserve"> </w:t>
      </w:r>
    </w:p>
    <w:tbl>
      <w:tblPr>
        <w:tblStyle w:val="TableGrid"/>
        <w:tblW w:w="7578" w:type="dxa"/>
        <w:jc w:val="center"/>
        <w:tblInd w:w="738" w:type="dxa"/>
        <w:shd w:val="clear" w:color="auto" w:fill="C2D69B" w:themeFill="accent3" w:themeFillTint="99"/>
        <w:tblLook w:val="04A0"/>
      </w:tblPr>
      <w:tblGrid>
        <w:gridCol w:w="1711"/>
        <w:gridCol w:w="5867"/>
      </w:tblGrid>
      <w:tr w:rsidR="00317FB3" w:rsidRPr="008C06D6" w:rsidTr="00317FB3">
        <w:trPr>
          <w:trHeight w:val="384"/>
          <w:jc w:val="center"/>
        </w:trPr>
        <w:tc>
          <w:tcPr>
            <w:tcW w:w="1711" w:type="dxa"/>
            <w:shd w:val="clear" w:color="auto" w:fill="C2D69B" w:themeFill="accent3" w:themeFillTint="99"/>
          </w:tcPr>
          <w:p w:rsidR="00317FB3" w:rsidRPr="008C06D6" w:rsidRDefault="00317FB3" w:rsidP="00317FB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Number of LTIs</w:t>
            </w:r>
          </w:p>
        </w:tc>
        <w:tc>
          <w:tcPr>
            <w:tcW w:w="5867" w:type="dxa"/>
            <w:shd w:val="clear" w:color="auto" w:fill="C2D69B" w:themeFill="accent3" w:themeFillTint="99"/>
          </w:tcPr>
          <w:p w:rsidR="00317FB3" w:rsidRPr="008C06D6" w:rsidRDefault="00317FB3" w:rsidP="00317FB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Contractors</w:t>
            </w:r>
          </w:p>
        </w:tc>
      </w:tr>
      <w:tr w:rsidR="00317FB3" w:rsidRPr="008C06D6" w:rsidTr="00317FB3">
        <w:trPr>
          <w:trHeight w:val="302"/>
          <w:jc w:val="center"/>
        </w:trPr>
        <w:tc>
          <w:tcPr>
            <w:tcW w:w="1711" w:type="dxa"/>
            <w:shd w:val="clear" w:color="auto" w:fill="C2D69B" w:themeFill="accent3" w:themeFillTint="99"/>
            <w:vAlign w:val="center"/>
          </w:tcPr>
          <w:p w:rsidR="00317FB3" w:rsidRPr="008C06D6" w:rsidRDefault="00317FB3" w:rsidP="00317FB3">
            <w:pPr>
              <w:pStyle w:val="ListParagraph"/>
              <w:ind w:left="0"/>
              <w:jc w:val="center"/>
            </w:pPr>
            <w:r w:rsidRPr="008C06D6">
              <w:rPr>
                <w:b/>
                <w:bCs/>
              </w:rPr>
              <w:t>4</w:t>
            </w:r>
          </w:p>
        </w:tc>
        <w:tc>
          <w:tcPr>
            <w:tcW w:w="5867" w:type="dxa"/>
            <w:vAlign w:val="center"/>
          </w:tcPr>
          <w:p w:rsidR="00317FB3" w:rsidRPr="008C06D6" w:rsidRDefault="00317FB3" w:rsidP="00317FB3">
            <w:pPr>
              <w:pStyle w:val="ListParagraph"/>
              <w:ind w:left="0"/>
            </w:pPr>
            <w:r w:rsidRPr="008C06D6">
              <w:t>Dalma Energy</w:t>
            </w:r>
          </w:p>
        </w:tc>
      </w:tr>
      <w:tr w:rsidR="00317FB3" w:rsidRPr="008C06D6" w:rsidTr="00317FB3">
        <w:trPr>
          <w:trHeight w:val="265"/>
          <w:jc w:val="center"/>
        </w:trPr>
        <w:tc>
          <w:tcPr>
            <w:tcW w:w="1711" w:type="dxa"/>
            <w:shd w:val="clear" w:color="auto" w:fill="C2D69B" w:themeFill="accent3" w:themeFillTint="99"/>
            <w:vAlign w:val="center"/>
          </w:tcPr>
          <w:p w:rsidR="00317FB3" w:rsidRPr="008C06D6" w:rsidRDefault="00317FB3" w:rsidP="00317FB3">
            <w:pPr>
              <w:pStyle w:val="ListParagraph"/>
              <w:ind w:left="0"/>
              <w:jc w:val="center"/>
            </w:pPr>
            <w:r w:rsidRPr="008C06D6">
              <w:rPr>
                <w:b/>
                <w:bCs/>
              </w:rPr>
              <w:t>3</w:t>
            </w:r>
          </w:p>
        </w:tc>
        <w:tc>
          <w:tcPr>
            <w:tcW w:w="5867" w:type="dxa"/>
            <w:vAlign w:val="center"/>
          </w:tcPr>
          <w:p w:rsidR="00317FB3" w:rsidRPr="008C06D6" w:rsidRDefault="00317FB3" w:rsidP="00317FB3">
            <w:pPr>
              <w:pStyle w:val="ListParagraph"/>
              <w:ind w:left="0"/>
            </w:pPr>
            <w:r w:rsidRPr="008C06D6">
              <w:t>Ba Omar, Ensign, Midwesco, Carillion</w:t>
            </w:r>
          </w:p>
        </w:tc>
      </w:tr>
      <w:tr w:rsidR="00317FB3" w:rsidRPr="008C06D6" w:rsidTr="00317FB3">
        <w:trPr>
          <w:trHeight w:val="247"/>
          <w:jc w:val="center"/>
        </w:trPr>
        <w:tc>
          <w:tcPr>
            <w:tcW w:w="1711" w:type="dxa"/>
            <w:shd w:val="clear" w:color="auto" w:fill="C2D69B" w:themeFill="accent3" w:themeFillTint="99"/>
            <w:vAlign w:val="center"/>
          </w:tcPr>
          <w:p w:rsidR="00317FB3" w:rsidRPr="008C06D6" w:rsidRDefault="00317FB3" w:rsidP="00317FB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2</w:t>
            </w:r>
          </w:p>
        </w:tc>
        <w:tc>
          <w:tcPr>
            <w:tcW w:w="5867" w:type="dxa"/>
            <w:vAlign w:val="center"/>
          </w:tcPr>
          <w:p w:rsidR="00317FB3" w:rsidRPr="008C06D6" w:rsidRDefault="00317FB3" w:rsidP="00317FB3">
            <w:pPr>
              <w:pStyle w:val="ListParagraph"/>
              <w:ind w:left="0"/>
            </w:pPr>
            <w:r w:rsidRPr="008C06D6">
              <w:t>WG-CCC, Bahwan Exel, Baker Hughes, Weatherford, Medco, NDSC, MBPS, Schlumberger, Worly Parson Arabian Industries.</w:t>
            </w:r>
          </w:p>
        </w:tc>
      </w:tr>
      <w:tr w:rsidR="00317FB3" w:rsidRPr="008C06D6" w:rsidTr="00317FB3">
        <w:trPr>
          <w:trHeight w:val="404"/>
          <w:jc w:val="center"/>
        </w:trPr>
        <w:tc>
          <w:tcPr>
            <w:tcW w:w="1711" w:type="dxa"/>
            <w:shd w:val="clear" w:color="auto" w:fill="C2D69B" w:themeFill="accent3" w:themeFillTint="99"/>
            <w:vAlign w:val="center"/>
          </w:tcPr>
          <w:p w:rsidR="00317FB3" w:rsidRPr="008C06D6" w:rsidRDefault="00317FB3" w:rsidP="00317FB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1</w:t>
            </w:r>
          </w:p>
        </w:tc>
        <w:tc>
          <w:tcPr>
            <w:tcW w:w="5867" w:type="dxa"/>
            <w:vAlign w:val="center"/>
          </w:tcPr>
          <w:p w:rsidR="00317FB3" w:rsidRPr="008C06D6" w:rsidRDefault="00317FB3" w:rsidP="00317FB3">
            <w:pPr>
              <w:pStyle w:val="ListParagraph"/>
              <w:ind w:left="0"/>
            </w:pPr>
            <w:r w:rsidRPr="008C06D6">
              <w:t>Al Hajiry, Al Turki, Shivani, KCA Deutag, Sahara, Powertech, Desert Byrne, Ardiseis, SOFS, SPC, ADS, Thomssen, Bahwan Lamnalco, Petrozone, Abraj, Gulf energy, Gulf Drilling.</w:t>
            </w:r>
          </w:p>
        </w:tc>
      </w:tr>
    </w:tbl>
    <w:p w:rsidR="00655FBA" w:rsidRPr="0074631B" w:rsidRDefault="00D0603E" w:rsidP="00AF5A9C">
      <w:pPr>
        <w:pStyle w:val="Heading2"/>
        <w:numPr>
          <w:ilvl w:val="1"/>
          <w:numId w:val="42"/>
        </w:numPr>
        <w:spacing w:before="240" w:after="120"/>
        <w:rPr>
          <w:rFonts w:asciiTheme="minorHAnsi" w:hAnsiTheme="minorHAnsi"/>
          <w:color w:val="auto"/>
        </w:rPr>
      </w:pPr>
      <w:bookmarkStart w:id="9" w:name="_Toc440869353"/>
      <w:r w:rsidRPr="0074631B">
        <w:rPr>
          <w:rFonts w:asciiTheme="minorHAnsi" w:hAnsiTheme="minorHAnsi"/>
          <w:color w:val="auto"/>
        </w:rPr>
        <w:t xml:space="preserve">LTI </w:t>
      </w:r>
      <w:r w:rsidR="00515A85" w:rsidRPr="0074631B">
        <w:rPr>
          <w:rFonts w:asciiTheme="minorHAnsi" w:hAnsiTheme="minorHAnsi"/>
          <w:color w:val="auto"/>
        </w:rPr>
        <w:t>I</w:t>
      </w:r>
      <w:r w:rsidR="006155E2" w:rsidRPr="0074631B">
        <w:rPr>
          <w:rFonts w:asciiTheme="minorHAnsi" w:hAnsiTheme="minorHAnsi"/>
          <w:color w:val="auto"/>
        </w:rPr>
        <w:t xml:space="preserve">ncident </w:t>
      </w:r>
      <w:r w:rsidR="00515A85" w:rsidRPr="0074631B">
        <w:rPr>
          <w:rFonts w:asciiTheme="minorHAnsi" w:hAnsiTheme="minorHAnsi"/>
          <w:color w:val="auto"/>
        </w:rPr>
        <w:t>D</w:t>
      </w:r>
      <w:r w:rsidR="006155E2" w:rsidRPr="0074631B">
        <w:rPr>
          <w:rFonts w:asciiTheme="minorHAnsi" w:hAnsiTheme="minorHAnsi"/>
          <w:color w:val="auto"/>
        </w:rPr>
        <w:t>escription</w:t>
      </w:r>
      <w:r w:rsidR="00AF5A9C" w:rsidRPr="0074631B">
        <w:rPr>
          <w:rFonts w:asciiTheme="minorHAnsi" w:hAnsiTheme="minorHAnsi"/>
          <w:color w:val="auto"/>
        </w:rPr>
        <w:t>s</w:t>
      </w:r>
      <w:bookmarkEnd w:id="9"/>
    </w:p>
    <w:tbl>
      <w:tblPr>
        <w:tblStyle w:val="MediumList1-Accent3"/>
        <w:tblW w:w="0" w:type="auto"/>
        <w:tblLook w:val="04A0"/>
      </w:tblPr>
      <w:tblGrid>
        <w:gridCol w:w="8856"/>
      </w:tblGrid>
      <w:tr w:rsidR="00FB04B4" w:rsidRPr="00FB04B4" w:rsidTr="0074631B">
        <w:trPr>
          <w:cnfStyle w:val="1000000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 xml:space="preserve">Slipped while descending staircase resulting in an injured knee.  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Trapped between hose and hand tools board resulting in a fractured finger.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Fell 1.5m from the top of shovel wheel resulting in a fractured wrist.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Fell 1.8m from the top of a trailer resulting in a fractured wrist.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Crushed by a concrete block resulting in a fractured leg.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Amputated finger between corrosive ring and the tubing hanger.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Trapped finger between flow line and shale shaker pipe fracturing the finger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Prime mover rolled over resulting in a fractured pelvis.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 xml:space="preserve">Fell over on moving vehicle (Hose Deployment Unit) causing </w:t>
            </w:r>
            <w:r w:rsidRPr="0081017A">
              <w:t>fatal</w:t>
            </w:r>
            <w:r w:rsidRPr="00FB04B4">
              <w:rPr>
                <w:b w:val="0"/>
                <w:bCs w:val="0"/>
              </w:rPr>
              <w:t xml:space="preserve"> head injury.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Struck by a co-flex hose end causing fractures to two toes.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Fell from an engine skid resulting in fractured wrist.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Trapped finger in the radiator fan causing a deep cut.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C17965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Trapped finger between the slip handle and boot causing amputation.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Slipped while walking across the roadway resulting in a fractured leg.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Crushed by a metal pipe unloading metal barriers fracturing thumb.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Struck by a chain binder under tension resulting in eye and cheek injury.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Struck by a hose due to residual pressure resulting in fractured jaw.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Trapped finger between the elevator and the tong resulting in fractured finger.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Crushed between supporting leg and catwalk resulting in a fractured finger.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C17965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Slipped and fell on the x-mas tree fracturing arm.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C17965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Fell from height filling a diesel tank injuring knee.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Vehicle incident resulted in a fractured forearm.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Struck by top drives lifting loop resulting in a fractured arm.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Electrical flash over resulting in burns to the face, neck and hands.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 xml:space="preserve">Trapped finger between the mast and the BOP </w:t>
            </w:r>
            <w:r w:rsidRPr="00C17965">
              <w:rPr>
                <w:b w:val="0"/>
                <w:bCs w:val="0"/>
              </w:rPr>
              <w:t xml:space="preserve">fracturing </w:t>
            </w:r>
            <w:r w:rsidR="00C17965" w:rsidRPr="00C17965">
              <w:rPr>
                <w:b w:val="0"/>
                <w:bCs w:val="0"/>
              </w:rPr>
              <w:t xml:space="preserve">a </w:t>
            </w:r>
            <w:r w:rsidRPr="00C17965">
              <w:rPr>
                <w:b w:val="0"/>
                <w:bCs w:val="0"/>
              </w:rPr>
              <w:t>finger.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937D62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 xml:space="preserve">Motor vehicle incident between a pickup </w:t>
            </w:r>
            <w:r w:rsidR="00937D62">
              <w:rPr>
                <w:b w:val="0"/>
                <w:bCs w:val="0"/>
              </w:rPr>
              <w:t>and</w:t>
            </w:r>
            <w:r w:rsidRPr="00FB04B4">
              <w:rPr>
                <w:b w:val="0"/>
                <w:bCs w:val="0"/>
              </w:rPr>
              <w:t xml:space="preserve"> a canter resulting in multiple fractures.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Crushed by a falling pipe resulting in an ankle fracture.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Trapped between a cable and a clamp resulting in finger amputation.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C17965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Crushed</w:t>
            </w:r>
            <w:r w:rsidR="00C17965">
              <w:rPr>
                <w:b w:val="0"/>
                <w:bCs w:val="0"/>
              </w:rPr>
              <w:t xml:space="preserve"> and fractured</w:t>
            </w:r>
            <w:r w:rsidRPr="00FB04B4">
              <w:rPr>
                <w:b w:val="0"/>
                <w:bCs w:val="0"/>
              </w:rPr>
              <w:t xml:space="preserve"> fingers between substructure and the</w:t>
            </w:r>
            <w:r w:rsidR="00C17965">
              <w:rPr>
                <w:b w:val="0"/>
                <w:bCs w:val="0"/>
              </w:rPr>
              <w:t xml:space="preserve"> Tubing Head Spoil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Trapped between the junk cover and junk box resulting in finger tip amputation.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lastRenderedPageBreak/>
              <w:t>Trapped</w:t>
            </w:r>
            <w:r w:rsidR="0081017A">
              <w:rPr>
                <w:b w:val="0"/>
                <w:bCs w:val="0"/>
              </w:rPr>
              <w:t xml:space="preserve"> finger</w:t>
            </w:r>
            <w:r w:rsidRPr="00FB04B4">
              <w:rPr>
                <w:b w:val="0"/>
                <w:bCs w:val="0"/>
              </w:rPr>
              <w:t xml:space="preserve"> between the bolt and the flange resulting in finger amputation.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 xml:space="preserve">Trapped </w:t>
            </w:r>
            <w:r w:rsidR="0081017A">
              <w:rPr>
                <w:b w:val="0"/>
                <w:bCs w:val="0"/>
              </w:rPr>
              <w:t xml:space="preserve">finger </w:t>
            </w:r>
            <w:r w:rsidRPr="00FB04B4">
              <w:rPr>
                <w:b w:val="0"/>
                <w:bCs w:val="0"/>
              </w:rPr>
              <w:t>between a gate and a valve body resulting in finger tip amputation.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Struck by a tubing joint jumped out of V groove resulting in a fractured thumb.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C17965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Slipped while ascending the staircase whil</w:t>
            </w:r>
            <w:r w:rsidR="00C17965">
              <w:rPr>
                <w:b w:val="0"/>
                <w:bCs w:val="0"/>
              </w:rPr>
              <w:t>st</w:t>
            </w:r>
            <w:r w:rsidRPr="00FB04B4">
              <w:rPr>
                <w:b w:val="0"/>
                <w:bCs w:val="0"/>
              </w:rPr>
              <w:t xml:space="preserve"> carrying load resulting in a crashed finger.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Trapped hand while testing a hydraulic valve resulting in a fractured finger.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Crushed by blow out preventer and its fixing resulting in fractured finger.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C17965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Burned by acid whil</w:t>
            </w:r>
            <w:r w:rsidR="00C17965">
              <w:rPr>
                <w:b w:val="0"/>
                <w:bCs w:val="0"/>
              </w:rPr>
              <w:t xml:space="preserve">st </w:t>
            </w:r>
            <w:r w:rsidRPr="00FB04B4">
              <w:rPr>
                <w:b w:val="0"/>
                <w:bCs w:val="0"/>
              </w:rPr>
              <w:t>cleaning a drain resulting in upper part body burns.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C17965">
            <w:pPr>
              <w:pStyle w:val="ListParagraph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Burned by acid whil</w:t>
            </w:r>
            <w:r w:rsidR="00C17965">
              <w:rPr>
                <w:b w:val="0"/>
                <w:bCs w:val="0"/>
              </w:rPr>
              <w:t xml:space="preserve">st </w:t>
            </w:r>
            <w:r w:rsidRPr="00FB04B4">
              <w:rPr>
                <w:b w:val="0"/>
                <w:bCs w:val="0"/>
              </w:rPr>
              <w:t>cleaning a blocked</w:t>
            </w:r>
            <w:r w:rsidR="00937D62">
              <w:rPr>
                <w:b w:val="0"/>
                <w:bCs w:val="0"/>
              </w:rPr>
              <w:t xml:space="preserve"> </w:t>
            </w:r>
            <w:r w:rsidRPr="00FB04B4">
              <w:rPr>
                <w:b w:val="0"/>
                <w:bCs w:val="0"/>
              </w:rPr>
              <w:t>pipe resulting in fingers burn.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C17965">
            <w:pPr>
              <w:pStyle w:val="ListParagraph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MVI between canter and water tanker</w:t>
            </w:r>
            <w:r w:rsidR="00C17965">
              <w:rPr>
                <w:b w:val="0"/>
                <w:bCs w:val="0"/>
              </w:rPr>
              <w:t xml:space="preserve">, </w:t>
            </w:r>
            <w:r w:rsidRPr="00FB04B4">
              <w:rPr>
                <w:b w:val="0"/>
                <w:bCs w:val="0"/>
              </w:rPr>
              <w:t>fractur</w:t>
            </w:r>
            <w:r w:rsidR="00C17965">
              <w:rPr>
                <w:b w:val="0"/>
                <w:bCs w:val="0"/>
              </w:rPr>
              <w:t>ing</w:t>
            </w:r>
            <w:r w:rsidRPr="00FB04B4">
              <w:rPr>
                <w:b w:val="0"/>
                <w:bCs w:val="0"/>
              </w:rPr>
              <w:t xml:space="preserve"> knee and</w:t>
            </w:r>
            <w:r w:rsidR="00C17965">
              <w:rPr>
                <w:b w:val="0"/>
                <w:bCs w:val="0"/>
              </w:rPr>
              <w:t xml:space="preserve"> dislocating</w:t>
            </w:r>
            <w:r w:rsidRPr="00FB04B4">
              <w:rPr>
                <w:b w:val="0"/>
                <w:bCs w:val="0"/>
              </w:rPr>
              <w:t xml:space="preserve"> hip.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Crushed by a crane sling resulting in fractured middle and ring fingers.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Slipped while jumping to the barge resulting in twisted knee.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 xml:space="preserve">Crushed </w:t>
            </w:r>
            <w:r w:rsidR="0081017A">
              <w:rPr>
                <w:b w:val="0"/>
                <w:bCs w:val="0"/>
              </w:rPr>
              <w:t xml:space="preserve">finger </w:t>
            </w:r>
            <w:r w:rsidRPr="00FB04B4">
              <w:rPr>
                <w:b w:val="0"/>
                <w:bCs w:val="0"/>
              </w:rPr>
              <w:t>while hammering a flange resulting in a fractured thumb.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Trapped between a spanner and a fixed object resulting in a fractured finger.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Trapped and fractured finger in the trailer side holder while inserting the post.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Trapped</w:t>
            </w:r>
            <w:r w:rsidR="0081017A">
              <w:rPr>
                <w:b w:val="0"/>
                <w:bCs w:val="0"/>
              </w:rPr>
              <w:t xml:space="preserve"> hand</w:t>
            </w:r>
            <w:r w:rsidRPr="00FB04B4">
              <w:rPr>
                <w:b w:val="0"/>
                <w:bCs w:val="0"/>
              </w:rPr>
              <w:t xml:space="preserve"> between the traveling block and the swivel resulting in fractured thumb.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MVI roll over resulting in a finger tip amputation and fractured fingers.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C17965">
            <w:pPr>
              <w:pStyle w:val="ListParagraph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81017A">
              <w:t>Fatally</w:t>
            </w:r>
            <w:r w:rsidRPr="00FB04B4">
              <w:rPr>
                <w:b w:val="0"/>
                <w:bCs w:val="0"/>
              </w:rPr>
              <w:t xml:space="preserve"> crushed between two Frac tanks whil</w:t>
            </w:r>
            <w:r w:rsidR="00C17965">
              <w:rPr>
                <w:b w:val="0"/>
                <w:bCs w:val="0"/>
              </w:rPr>
              <w:t>st</w:t>
            </w:r>
            <w:r w:rsidRPr="00FB04B4">
              <w:rPr>
                <w:b w:val="0"/>
                <w:bCs w:val="0"/>
              </w:rPr>
              <w:t xml:space="preserve"> offloading </w:t>
            </w:r>
            <w:r w:rsidR="00C17965">
              <w:rPr>
                <w:b w:val="0"/>
                <w:bCs w:val="0"/>
              </w:rPr>
              <w:t xml:space="preserve">them </w:t>
            </w:r>
            <w:r w:rsidRPr="00FB04B4">
              <w:rPr>
                <w:b w:val="0"/>
                <w:bCs w:val="0"/>
              </w:rPr>
              <w:t>from prime mover.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Crushed and fractured finger between two planks of wood whilst realigning casing.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Crushed by a falling lifting cap resulting in fractured finger.</w:t>
            </w:r>
          </w:p>
        </w:tc>
      </w:tr>
      <w:tr w:rsidR="00FB04B4" w:rsidRPr="00FB04B4" w:rsidTr="0074631B">
        <w:trPr>
          <w:cnfStyle w:val="000000100000"/>
        </w:trPr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>Twisted by a drilling machine while drilling resulting in fractured forearm.</w:t>
            </w:r>
          </w:p>
        </w:tc>
      </w:tr>
      <w:tr w:rsidR="00FB04B4" w:rsidRPr="00FB04B4" w:rsidTr="0074631B">
        <w:tc>
          <w:tcPr>
            <w:cnfStyle w:val="001000000000"/>
            <w:tcW w:w="8856" w:type="dxa"/>
          </w:tcPr>
          <w:p w:rsidR="00FB04B4" w:rsidRPr="00FB04B4" w:rsidRDefault="00FB04B4" w:rsidP="0081017A">
            <w:pPr>
              <w:pStyle w:val="ListParagraph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FB04B4">
              <w:rPr>
                <w:b w:val="0"/>
                <w:bCs w:val="0"/>
              </w:rPr>
              <w:t xml:space="preserve"> MVI roll over resulting in fractured arm and shoulder.</w:t>
            </w:r>
          </w:p>
        </w:tc>
      </w:tr>
    </w:tbl>
    <w:p w:rsidR="00E9093A" w:rsidRPr="0074631B" w:rsidRDefault="00B11D00" w:rsidP="00AF5A9C">
      <w:pPr>
        <w:pStyle w:val="Heading2"/>
        <w:numPr>
          <w:ilvl w:val="1"/>
          <w:numId w:val="42"/>
        </w:numPr>
        <w:spacing w:before="240" w:after="120"/>
        <w:rPr>
          <w:rFonts w:asciiTheme="minorHAnsi" w:hAnsiTheme="minorHAnsi"/>
          <w:color w:val="auto"/>
        </w:rPr>
      </w:pPr>
      <w:bookmarkStart w:id="10" w:name="_Toc440539350"/>
      <w:bookmarkStart w:id="11" w:name="_Toc440869354"/>
      <w:bookmarkEnd w:id="10"/>
      <w:r w:rsidRPr="0074631B">
        <w:rPr>
          <w:rFonts w:asciiTheme="minorHAnsi" w:hAnsiTheme="minorHAnsi"/>
          <w:color w:val="auto"/>
        </w:rPr>
        <w:t xml:space="preserve">Incident </w:t>
      </w:r>
      <w:r w:rsidR="00515A85" w:rsidRPr="0074631B">
        <w:rPr>
          <w:rFonts w:asciiTheme="minorHAnsi" w:hAnsiTheme="minorHAnsi"/>
          <w:color w:val="auto"/>
        </w:rPr>
        <w:t>C</w:t>
      </w:r>
      <w:r w:rsidRPr="0074631B">
        <w:rPr>
          <w:rFonts w:asciiTheme="minorHAnsi" w:hAnsiTheme="minorHAnsi"/>
          <w:color w:val="auto"/>
        </w:rPr>
        <w:t>lassification</w:t>
      </w:r>
      <w:r w:rsidR="00A5463C" w:rsidRPr="0074631B">
        <w:rPr>
          <w:rFonts w:asciiTheme="minorHAnsi" w:hAnsiTheme="minorHAnsi"/>
          <w:color w:val="auto"/>
        </w:rPr>
        <w:t>:</w:t>
      </w:r>
      <w:bookmarkEnd w:id="11"/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2462"/>
        <w:gridCol w:w="1446"/>
        <w:gridCol w:w="1446"/>
        <w:gridCol w:w="1976"/>
      </w:tblGrid>
      <w:tr w:rsidR="00EE293F" w:rsidRPr="008C06D6" w:rsidTr="006F2E2C">
        <w:trPr>
          <w:trHeight w:val="590"/>
          <w:jc w:val="center"/>
        </w:trPr>
        <w:tc>
          <w:tcPr>
            <w:tcW w:w="2462" w:type="dxa"/>
            <w:shd w:val="clear" w:color="auto" w:fill="C2D69B" w:themeFill="accent3" w:themeFillTint="99"/>
          </w:tcPr>
          <w:p w:rsidR="00EE293F" w:rsidRPr="008C06D6" w:rsidRDefault="00EE293F" w:rsidP="00EE293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Type of Incident causing LTI</w:t>
            </w:r>
          </w:p>
        </w:tc>
        <w:tc>
          <w:tcPr>
            <w:tcW w:w="1446" w:type="dxa"/>
            <w:shd w:val="clear" w:color="auto" w:fill="C2D69B" w:themeFill="accent3" w:themeFillTint="99"/>
          </w:tcPr>
          <w:p w:rsidR="00EE293F" w:rsidRPr="008C06D6" w:rsidRDefault="00EE293F" w:rsidP="00EE293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N</w:t>
            </w:r>
            <w:r w:rsidR="006460E5" w:rsidRPr="008C06D6">
              <w:rPr>
                <w:b/>
                <w:bCs/>
              </w:rPr>
              <w:t>o</w:t>
            </w:r>
            <w:r w:rsidRPr="008C06D6">
              <w:rPr>
                <w:b/>
                <w:bCs/>
              </w:rPr>
              <w:t xml:space="preserve"> of LTIs</w:t>
            </w:r>
          </w:p>
          <w:p w:rsidR="00EE293F" w:rsidRPr="008C06D6" w:rsidRDefault="00EE293F" w:rsidP="0087570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201</w:t>
            </w:r>
            <w:r w:rsidR="00875701" w:rsidRPr="008C06D6">
              <w:rPr>
                <w:b/>
                <w:bCs/>
              </w:rPr>
              <w:t>5</w:t>
            </w:r>
          </w:p>
        </w:tc>
        <w:tc>
          <w:tcPr>
            <w:tcW w:w="1446" w:type="dxa"/>
            <w:shd w:val="clear" w:color="auto" w:fill="C2D69B" w:themeFill="accent3" w:themeFillTint="99"/>
          </w:tcPr>
          <w:p w:rsidR="00EE293F" w:rsidRPr="008C06D6" w:rsidRDefault="00EE293F" w:rsidP="00EE293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N</w:t>
            </w:r>
            <w:r w:rsidR="006460E5" w:rsidRPr="008C06D6">
              <w:rPr>
                <w:b/>
                <w:bCs/>
              </w:rPr>
              <w:t>o</w:t>
            </w:r>
            <w:r w:rsidRPr="008C06D6">
              <w:rPr>
                <w:b/>
                <w:bCs/>
              </w:rPr>
              <w:t xml:space="preserve"> of LTIs</w:t>
            </w:r>
          </w:p>
          <w:p w:rsidR="00EE293F" w:rsidRPr="008C06D6" w:rsidRDefault="00EE293F" w:rsidP="0087570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201</w:t>
            </w:r>
            <w:r w:rsidR="00875701" w:rsidRPr="008C06D6">
              <w:rPr>
                <w:b/>
                <w:bCs/>
              </w:rPr>
              <w:t>4</w:t>
            </w:r>
          </w:p>
        </w:tc>
        <w:tc>
          <w:tcPr>
            <w:tcW w:w="1976" w:type="dxa"/>
            <w:shd w:val="clear" w:color="auto" w:fill="C2D69B" w:themeFill="accent3" w:themeFillTint="99"/>
          </w:tcPr>
          <w:p w:rsidR="00EE293F" w:rsidRPr="008C06D6" w:rsidRDefault="00EE293F" w:rsidP="00EE293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% change from</w:t>
            </w:r>
          </w:p>
          <w:p w:rsidR="00EE293F" w:rsidRPr="008C06D6" w:rsidRDefault="00EE293F" w:rsidP="00746D0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201</w:t>
            </w:r>
            <w:r w:rsidR="00746D05" w:rsidRPr="008C06D6">
              <w:rPr>
                <w:b/>
                <w:bCs/>
              </w:rPr>
              <w:t>4</w:t>
            </w:r>
          </w:p>
        </w:tc>
      </w:tr>
      <w:tr w:rsidR="00134642" w:rsidRPr="008C06D6" w:rsidTr="006F2E2C">
        <w:trPr>
          <w:trHeight w:val="295"/>
          <w:jc w:val="center"/>
        </w:trPr>
        <w:tc>
          <w:tcPr>
            <w:tcW w:w="2462" w:type="dxa"/>
            <w:shd w:val="clear" w:color="auto" w:fill="C2D69B" w:themeFill="accent3" w:themeFillTint="99"/>
            <w:vAlign w:val="center"/>
          </w:tcPr>
          <w:p w:rsidR="00134642" w:rsidRPr="008C06D6" w:rsidRDefault="00134642" w:rsidP="00806CF9">
            <w:pPr>
              <w:pStyle w:val="ListParagraph"/>
              <w:ind w:left="0"/>
              <w:jc w:val="center"/>
            </w:pPr>
            <w:r w:rsidRPr="008C06D6">
              <w:t>Crush/Trapped</w:t>
            </w:r>
          </w:p>
        </w:tc>
        <w:tc>
          <w:tcPr>
            <w:tcW w:w="1446" w:type="dxa"/>
            <w:vAlign w:val="center"/>
          </w:tcPr>
          <w:p w:rsidR="00134642" w:rsidRPr="008C06D6" w:rsidRDefault="00134642" w:rsidP="0018112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2</w:t>
            </w:r>
            <w:r w:rsidR="0018112E" w:rsidRPr="008C06D6"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  <w:vAlign w:val="center"/>
          </w:tcPr>
          <w:p w:rsidR="00134642" w:rsidRPr="008C06D6" w:rsidRDefault="00134642" w:rsidP="007A71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25</w:t>
            </w:r>
          </w:p>
        </w:tc>
        <w:tc>
          <w:tcPr>
            <w:tcW w:w="1976" w:type="dxa"/>
            <w:vAlign w:val="center"/>
          </w:tcPr>
          <w:p w:rsidR="00134642" w:rsidRPr="008C06D6" w:rsidRDefault="00F35C65" w:rsidP="00E53F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4</w:t>
            </w:r>
          </w:p>
        </w:tc>
      </w:tr>
      <w:tr w:rsidR="00134642" w:rsidRPr="008C06D6" w:rsidTr="006F2E2C">
        <w:trPr>
          <w:trHeight w:val="295"/>
          <w:jc w:val="center"/>
        </w:trPr>
        <w:tc>
          <w:tcPr>
            <w:tcW w:w="2462" w:type="dxa"/>
            <w:shd w:val="clear" w:color="auto" w:fill="C2D69B" w:themeFill="accent3" w:themeFillTint="99"/>
            <w:vAlign w:val="center"/>
          </w:tcPr>
          <w:p w:rsidR="00134642" w:rsidRPr="008C06D6" w:rsidRDefault="00134642" w:rsidP="00806CF9">
            <w:pPr>
              <w:pStyle w:val="ListParagraph"/>
              <w:ind w:left="0"/>
              <w:jc w:val="center"/>
            </w:pPr>
            <w:r w:rsidRPr="008C06D6">
              <w:t>Slip, Trip, Fall</w:t>
            </w:r>
          </w:p>
        </w:tc>
        <w:tc>
          <w:tcPr>
            <w:tcW w:w="1446" w:type="dxa"/>
            <w:vAlign w:val="center"/>
          </w:tcPr>
          <w:p w:rsidR="00134642" w:rsidRPr="008C06D6" w:rsidRDefault="00134642" w:rsidP="00806CF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8</w:t>
            </w:r>
          </w:p>
        </w:tc>
        <w:tc>
          <w:tcPr>
            <w:tcW w:w="1446" w:type="dxa"/>
            <w:vAlign w:val="center"/>
          </w:tcPr>
          <w:p w:rsidR="00134642" w:rsidRPr="008C06D6" w:rsidRDefault="00134642" w:rsidP="007A71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9</w:t>
            </w:r>
          </w:p>
        </w:tc>
        <w:tc>
          <w:tcPr>
            <w:tcW w:w="1976" w:type="dxa"/>
            <w:vAlign w:val="center"/>
          </w:tcPr>
          <w:p w:rsidR="00134642" w:rsidRPr="008C06D6" w:rsidRDefault="00F35C65" w:rsidP="0064596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(11)</w:t>
            </w:r>
          </w:p>
        </w:tc>
      </w:tr>
      <w:tr w:rsidR="00134642" w:rsidRPr="008C06D6" w:rsidTr="006F2E2C">
        <w:trPr>
          <w:trHeight w:val="295"/>
          <w:jc w:val="center"/>
        </w:trPr>
        <w:tc>
          <w:tcPr>
            <w:tcW w:w="2462" w:type="dxa"/>
            <w:shd w:val="clear" w:color="auto" w:fill="C2D69B" w:themeFill="accent3" w:themeFillTint="99"/>
            <w:vAlign w:val="center"/>
          </w:tcPr>
          <w:p w:rsidR="00134642" w:rsidRPr="008C06D6" w:rsidRDefault="00134642" w:rsidP="00806CF9">
            <w:pPr>
              <w:pStyle w:val="ListParagraph"/>
              <w:ind w:left="0"/>
              <w:jc w:val="center"/>
            </w:pPr>
            <w:r w:rsidRPr="008C06D6">
              <w:t>MVI</w:t>
            </w:r>
          </w:p>
        </w:tc>
        <w:tc>
          <w:tcPr>
            <w:tcW w:w="1446" w:type="dxa"/>
            <w:vAlign w:val="center"/>
          </w:tcPr>
          <w:p w:rsidR="00134642" w:rsidRPr="008C06D6" w:rsidRDefault="00D51080" w:rsidP="00806CF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  <w:vAlign w:val="center"/>
          </w:tcPr>
          <w:p w:rsidR="00134642" w:rsidRPr="008C06D6" w:rsidRDefault="00134642" w:rsidP="007A71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9</w:t>
            </w:r>
          </w:p>
        </w:tc>
        <w:tc>
          <w:tcPr>
            <w:tcW w:w="1976" w:type="dxa"/>
            <w:vAlign w:val="center"/>
          </w:tcPr>
          <w:p w:rsidR="00134642" w:rsidRPr="008C06D6" w:rsidRDefault="00D51080" w:rsidP="00061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(33</w:t>
            </w:r>
            <w:r w:rsidR="00F35C65" w:rsidRPr="008C06D6">
              <w:rPr>
                <w:sz w:val="20"/>
                <w:szCs w:val="20"/>
              </w:rPr>
              <w:t>)</w:t>
            </w:r>
          </w:p>
        </w:tc>
      </w:tr>
      <w:tr w:rsidR="00D96989" w:rsidRPr="008C06D6" w:rsidTr="006F2E2C">
        <w:trPr>
          <w:trHeight w:val="295"/>
          <w:jc w:val="center"/>
        </w:trPr>
        <w:tc>
          <w:tcPr>
            <w:tcW w:w="2462" w:type="dxa"/>
            <w:shd w:val="clear" w:color="auto" w:fill="C2D69B" w:themeFill="accent3" w:themeFillTint="99"/>
            <w:vAlign w:val="center"/>
          </w:tcPr>
          <w:p w:rsidR="00D96989" w:rsidRPr="008C06D6" w:rsidRDefault="00F12ABA" w:rsidP="00806CF9">
            <w:pPr>
              <w:pStyle w:val="ListParagraph"/>
              <w:ind w:left="0"/>
              <w:jc w:val="center"/>
            </w:pPr>
            <w:r w:rsidRPr="008C06D6">
              <w:t>Struck by object</w:t>
            </w:r>
          </w:p>
        </w:tc>
        <w:tc>
          <w:tcPr>
            <w:tcW w:w="1446" w:type="dxa"/>
            <w:vAlign w:val="center"/>
          </w:tcPr>
          <w:p w:rsidR="00D96989" w:rsidRPr="008C06D6" w:rsidRDefault="00D51080" w:rsidP="00806CF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  <w:vAlign w:val="center"/>
          </w:tcPr>
          <w:p w:rsidR="00D96989" w:rsidRPr="008C06D6" w:rsidRDefault="00134642" w:rsidP="00806CF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8</w:t>
            </w:r>
          </w:p>
        </w:tc>
        <w:tc>
          <w:tcPr>
            <w:tcW w:w="1976" w:type="dxa"/>
            <w:vAlign w:val="center"/>
          </w:tcPr>
          <w:p w:rsidR="00D96989" w:rsidRPr="008C06D6" w:rsidRDefault="00F35C65" w:rsidP="00F35C6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(</w:t>
            </w:r>
            <w:r w:rsidR="000615B6" w:rsidRPr="008C06D6">
              <w:rPr>
                <w:sz w:val="20"/>
                <w:szCs w:val="20"/>
              </w:rPr>
              <w:t>2</w:t>
            </w:r>
            <w:r w:rsidRPr="008C06D6">
              <w:rPr>
                <w:sz w:val="20"/>
                <w:szCs w:val="20"/>
              </w:rPr>
              <w:t>5)</w:t>
            </w:r>
          </w:p>
        </w:tc>
      </w:tr>
      <w:tr w:rsidR="00F727E6" w:rsidRPr="008C06D6" w:rsidTr="006F2E2C">
        <w:trPr>
          <w:trHeight w:val="295"/>
          <w:jc w:val="center"/>
        </w:trPr>
        <w:tc>
          <w:tcPr>
            <w:tcW w:w="2462" w:type="dxa"/>
            <w:shd w:val="clear" w:color="auto" w:fill="C2D69B" w:themeFill="accent3" w:themeFillTint="99"/>
            <w:vAlign w:val="center"/>
          </w:tcPr>
          <w:p w:rsidR="00F727E6" w:rsidRPr="008C06D6" w:rsidRDefault="00F727E6" w:rsidP="00806CF9">
            <w:pPr>
              <w:pStyle w:val="ListParagraph"/>
              <w:ind w:left="0"/>
              <w:jc w:val="center"/>
            </w:pPr>
            <w:r w:rsidRPr="008C06D6">
              <w:t>Fall from height</w:t>
            </w:r>
          </w:p>
        </w:tc>
        <w:tc>
          <w:tcPr>
            <w:tcW w:w="1446" w:type="dxa"/>
            <w:vAlign w:val="center"/>
          </w:tcPr>
          <w:p w:rsidR="00F727E6" w:rsidRPr="008C06D6" w:rsidRDefault="000E233E" w:rsidP="00806CF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1</w:t>
            </w:r>
          </w:p>
        </w:tc>
        <w:tc>
          <w:tcPr>
            <w:tcW w:w="1446" w:type="dxa"/>
            <w:vAlign w:val="center"/>
          </w:tcPr>
          <w:p w:rsidR="00F727E6" w:rsidRPr="008C06D6" w:rsidRDefault="00134642" w:rsidP="00806CF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4</w:t>
            </w:r>
          </w:p>
        </w:tc>
        <w:tc>
          <w:tcPr>
            <w:tcW w:w="1976" w:type="dxa"/>
            <w:vAlign w:val="center"/>
          </w:tcPr>
          <w:p w:rsidR="00F727E6" w:rsidRPr="008C06D6" w:rsidRDefault="00F35C65" w:rsidP="008C66B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(75)</w:t>
            </w:r>
          </w:p>
        </w:tc>
      </w:tr>
      <w:tr w:rsidR="00F727E6" w:rsidRPr="008C06D6" w:rsidTr="006F2E2C">
        <w:trPr>
          <w:trHeight w:val="295"/>
          <w:jc w:val="center"/>
        </w:trPr>
        <w:tc>
          <w:tcPr>
            <w:tcW w:w="2462" w:type="dxa"/>
            <w:shd w:val="clear" w:color="auto" w:fill="C2D69B" w:themeFill="accent3" w:themeFillTint="99"/>
            <w:vAlign w:val="center"/>
          </w:tcPr>
          <w:p w:rsidR="00F727E6" w:rsidRPr="008C06D6" w:rsidRDefault="00AE7FA5" w:rsidP="00806CF9">
            <w:pPr>
              <w:pStyle w:val="ListParagraph"/>
              <w:ind w:left="0"/>
              <w:jc w:val="center"/>
            </w:pPr>
            <w:r>
              <w:t>C</w:t>
            </w:r>
            <w:r w:rsidR="00F727E6" w:rsidRPr="008C06D6">
              <w:t>hemical/heat burns</w:t>
            </w:r>
          </w:p>
        </w:tc>
        <w:tc>
          <w:tcPr>
            <w:tcW w:w="1446" w:type="dxa"/>
            <w:vAlign w:val="center"/>
          </w:tcPr>
          <w:p w:rsidR="00F727E6" w:rsidRPr="008C06D6" w:rsidRDefault="000615B6" w:rsidP="00806CF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2</w:t>
            </w:r>
          </w:p>
        </w:tc>
        <w:tc>
          <w:tcPr>
            <w:tcW w:w="1446" w:type="dxa"/>
            <w:vAlign w:val="center"/>
          </w:tcPr>
          <w:p w:rsidR="00F727E6" w:rsidRPr="008C06D6" w:rsidRDefault="000615B6" w:rsidP="00806CF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2</w:t>
            </w:r>
          </w:p>
        </w:tc>
        <w:tc>
          <w:tcPr>
            <w:tcW w:w="1976" w:type="dxa"/>
            <w:vAlign w:val="center"/>
          </w:tcPr>
          <w:p w:rsidR="00F727E6" w:rsidRPr="008C06D6" w:rsidRDefault="000615B6" w:rsidP="002C3A6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0</w:t>
            </w:r>
          </w:p>
        </w:tc>
      </w:tr>
      <w:tr w:rsidR="00C36FE8" w:rsidRPr="008C06D6" w:rsidTr="006F2E2C">
        <w:trPr>
          <w:trHeight w:val="295"/>
          <w:jc w:val="center"/>
        </w:trPr>
        <w:tc>
          <w:tcPr>
            <w:tcW w:w="2462" w:type="dxa"/>
            <w:shd w:val="clear" w:color="auto" w:fill="C2D69B" w:themeFill="accent3" w:themeFillTint="99"/>
            <w:vAlign w:val="center"/>
          </w:tcPr>
          <w:p w:rsidR="00C36FE8" w:rsidRPr="008C06D6" w:rsidRDefault="00C36FE8" w:rsidP="00806CF9">
            <w:pPr>
              <w:pStyle w:val="ListParagraph"/>
              <w:ind w:left="0"/>
              <w:jc w:val="center"/>
            </w:pPr>
            <w:r w:rsidRPr="008C06D6">
              <w:t>Electrical Burns</w:t>
            </w:r>
          </w:p>
        </w:tc>
        <w:tc>
          <w:tcPr>
            <w:tcW w:w="1446" w:type="dxa"/>
            <w:vAlign w:val="center"/>
          </w:tcPr>
          <w:p w:rsidR="00C36FE8" w:rsidRPr="008C06D6" w:rsidRDefault="00C36FE8" w:rsidP="00806CF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1</w:t>
            </w:r>
          </w:p>
        </w:tc>
        <w:tc>
          <w:tcPr>
            <w:tcW w:w="1446" w:type="dxa"/>
            <w:vAlign w:val="center"/>
          </w:tcPr>
          <w:p w:rsidR="00C36FE8" w:rsidRPr="008C06D6" w:rsidRDefault="00C36FE8" w:rsidP="00806CF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0</w:t>
            </w:r>
          </w:p>
        </w:tc>
        <w:tc>
          <w:tcPr>
            <w:tcW w:w="1976" w:type="dxa"/>
            <w:vAlign w:val="center"/>
          </w:tcPr>
          <w:p w:rsidR="00C36FE8" w:rsidRPr="008C06D6" w:rsidRDefault="00C36FE8" w:rsidP="00085D1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100</w:t>
            </w:r>
          </w:p>
        </w:tc>
      </w:tr>
      <w:tr w:rsidR="00C36FE8" w:rsidRPr="008C06D6" w:rsidTr="006F2E2C">
        <w:trPr>
          <w:trHeight w:val="295"/>
          <w:jc w:val="center"/>
        </w:trPr>
        <w:tc>
          <w:tcPr>
            <w:tcW w:w="2462" w:type="dxa"/>
            <w:shd w:val="clear" w:color="auto" w:fill="C2D69B" w:themeFill="accent3" w:themeFillTint="99"/>
            <w:vAlign w:val="center"/>
          </w:tcPr>
          <w:p w:rsidR="00C36FE8" w:rsidRPr="008C06D6" w:rsidRDefault="00C36FE8" w:rsidP="00806CF9">
            <w:pPr>
              <w:pStyle w:val="ListParagraph"/>
              <w:ind w:left="0"/>
              <w:jc w:val="center"/>
            </w:pPr>
            <w:r w:rsidRPr="008C06D6">
              <w:t>Rotating Equipment</w:t>
            </w:r>
          </w:p>
        </w:tc>
        <w:tc>
          <w:tcPr>
            <w:tcW w:w="1446" w:type="dxa"/>
            <w:vAlign w:val="center"/>
          </w:tcPr>
          <w:p w:rsidR="00C36FE8" w:rsidRPr="008C06D6" w:rsidRDefault="0018112E" w:rsidP="00806CF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1</w:t>
            </w:r>
          </w:p>
        </w:tc>
        <w:tc>
          <w:tcPr>
            <w:tcW w:w="1446" w:type="dxa"/>
            <w:vAlign w:val="center"/>
          </w:tcPr>
          <w:p w:rsidR="00C36FE8" w:rsidRPr="008C06D6" w:rsidRDefault="00C36FE8" w:rsidP="00806CF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center"/>
          </w:tcPr>
          <w:p w:rsidR="00C36FE8" w:rsidRPr="008C06D6" w:rsidRDefault="0018112E" w:rsidP="002C3A6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C06D6">
              <w:rPr>
                <w:sz w:val="20"/>
                <w:szCs w:val="20"/>
              </w:rPr>
              <w:t>0</w:t>
            </w:r>
          </w:p>
        </w:tc>
      </w:tr>
      <w:tr w:rsidR="004F187A" w:rsidRPr="008C06D6" w:rsidTr="006F2E2C">
        <w:trPr>
          <w:trHeight w:val="295"/>
          <w:jc w:val="center"/>
        </w:trPr>
        <w:tc>
          <w:tcPr>
            <w:tcW w:w="2462" w:type="dxa"/>
            <w:shd w:val="clear" w:color="auto" w:fill="C2D69B" w:themeFill="accent3" w:themeFillTint="99"/>
            <w:vAlign w:val="center"/>
          </w:tcPr>
          <w:p w:rsidR="004F187A" w:rsidRPr="008C06D6" w:rsidRDefault="004F187A" w:rsidP="00806CF9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C06D6">
              <w:rPr>
                <w:b/>
                <w:bCs/>
              </w:rPr>
              <w:t>Total</w:t>
            </w:r>
          </w:p>
        </w:tc>
        <w:tc>
          <w:tcPr>
            <w:tcW w:w="1446" w:type="dxa"/>
            <w:vAlign w:val="center"/>
          </w:tcPr>
          <w:p w:rsidR="004F187A" w:rsidRPr="008C06D6" w:rsidRDefault="003B0D11" w:rsidP="00D5108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C06D6">
              <w:rPr>
                <w:b/>
                <w:bCs/>
                <w:sz w:val="20"/>
                <w:szCs w:val="20"/>
              </w:rPr>
              <w:t>5</w:t>
            </w:r>
            <w:r w:rsidR="00D51080" w:rsidRPr="008C06D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6" w:type="dxa"/>
            <w:vAlign w:val="center"/>
          </w:tcPr>
          <w:p w:rsidR="004F187A" w:rsidRPr="008C06D6" w:rsidRDefault="00134642" w:rsidP="00C36FE8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C06D6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976" w:type="dxa"/>
            <w:vAlign w:val="center"/>
          </w:tcPr>
          <w:p w:rsidR="004F187A" w:rsidRPr="008C06D6" w:rsidRDefault="003B0D11" w:rsidP="0018112E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C06D6">
              <w:rPr>
                <w:b/>
                <w:bCs/>
                <w:sz w:val="20"/>
                <w:szCs w:val="20"/>
              </w:rPr>
              <w:t>(1</w:t>
            </w:r>
            <w:r w:rsidR="0018112E" w:rsidRPr="008C06D6">
              <w:rPr>
                <w:b/>
                <w:bCs/>
                <w:sz w:val="20"/>
                <w:szCs w:val="20"/>
              </w:rPr>
              <w:t>2</w:t>
            </w:r>
            <w:r w:rsidR="00F35C65" w:rsidRPr="008C06D6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:rsidR="000840BC" w:rsidRDefault="000840BC" w:rsidP="000840BC">
      <w:pPr>
        <w:rPr>
          <w:rFonts w:eastAsiaTheme="majorEastAsia" w:cstheme="majorBidi"/>
          <w:color w:val="4F81BD" w:themeColor="accent1"/>
          <w:sz w:val="26"/>
          <w:szCs w:val="26"/>
        </w:rPr>
      </w:pPr>
      <w:r>
        <w:br w:type="page"/>
      </w:r>
    </w:p>
    <w:p w:rsidR="00AE1DDC" w:rsidRDefault="00AE1DDC" w:rsidP="00AF5A9C">
      <w:pPr>
        <w:pStyle w:val="Heading2"/>
        <w:numPr>
          <w:ilvl w:val="1"/>
          <w:numId w:val="42"/>
        </w:numPr>
        <w:spacing w:before="240" w:after="120"/>
        <w:rPr>
          <w:rFonts w:asciiTheme="minorHAnsi" w:hAnsiTheme="minorHAnsi"/>
          <w:color w:val="auto"/>
        </w:rPr>
      </w:pPr>
      <w:bookmarkStart w:id="12" w:name="_Toc440869355"/>
      <w:r w:rsidRPr="0074631B">
        <w:rPr>
          <w:rFonts w:asciiTheme="minorHAnsi" w:hAnsiTheme="minorHAnsi"/>
          <w:color w:val="auto"/>
        </w:rPr>
        <w:lastRenderedPageBreak/>
        <w:t>Actual Severity</w:t>
      </w:r>
      <w:bookmarkEnd w:id="12"/>
      <w:r w:rsidR="00A5463C" w:rsidRPr="0074631B">
        <w:rPr>
          <w:rFonts w:asciiTheme="minorHAnsi" w:hAnsiTheme="minorHAnsi"/>
          <w:color w:val="auto"/>
        </w:rPr>
        <w:t xml:space="preserve"> </w:t>
      </w:r>
    </w:p>
    <w:tbl>
      <w:tblPr>
        <w:tblStyle w:val="MediumGrid1-Accent3"/>
        <w:tblW w:w="0" w:type="auto"/>
        <w:jc w:val="center"/>
        <w:tblLook w:val="04A0"/>
      </w:tblPr>
      <w:tblGrid>
        <w:gridCol w:w="473"/>
        <w:gridCol w:w="6413"/>
        <w:gridCol w:w="720"/>
        <w:gridCol w:w="720"/>
      </w:tblGrid>
      <w:tr w:rsidR="007F069D" w:rsidRPr="008C06D6" w:rsidTr="007F069D">
        <w:trPr>
          <w:cnfStyle w:val="100000000000"/>
          <w:trHeight w:val="332"/>
          <w:jc w:val="center"/>
        </w:trPr>
        <w:tc>
          <w:tcPr>
            <w:cnfStyle w:val="001000000000"/>
            <w:tcW w:w="6886" w:type="dxa"/>
            <w:gridSpan w:val="2"/>
          </w:tcPr>
          <w:p w:rsidR="007F069D" w:rsidRPr="008C06D6" w:rsidRDefault="007F069D" w:rsidP="00ED5A72"/>
        </w:tc>
        <w:tc>
          <w:tcPr>
            <w:tcW w:w="720" w:type="dxa"/>
          </w:tcPr>
          <w:p w:rsidR="007F069D" w:rsidRPr="008C06D6" w:rsidRDefault="007F069D" w:rsidP="007F069D">
            <w:pPr>
              <w:jc w:val="center"/>
              <w:cnfStyle w:val="100000000000"/>
            </w:pPr>
            <w:r>
              <w:t>2015</w:t>
            </w:r>
          </w:p>
        </w:tc>
        <w:tc>
          <w:tcPr>
            <w:tcW w:w="720" w:type="dxa"/>
          </w:tcPr>
          <w:p w:rsidR="007F069D" w:rsidRPr="008C06D6" w:rsidRDefault="007F069D" w:rsidP="007F069D">
            <w:pPr>
              <w:jc w:val="center"/>
              <w:cnfStyle w:val="100000000000"/>
            </w:pPr>
            <w:r>
              <w:t>2014</w:t>
            </w:r>
          </w:p>
        </w:tc>
      </w:tr>
      <w:tr w:rsidR="007F069D" w:rsidRPr="008C06D6" w:rsidTr="00A41BAD">
        <w:trPr>
          <w:cnfStyle w:val="000000100000"/>
          <w:trHeight w:val="332"/>
          <w:jc w:val="center"/>
        </w:trPr>
        <w:tc>
          <w:tcPr>
            <w:cnfStyle w:val="001000000000"/>
            <w:tcW w:w="473" w:type="dxa"/>
          </w:tcPr>
          <w:p w:rsidR="007F069D" w:rsidRPr="008C06D6" w:rsidRDefault="007F069D" w:rsidP="00ED5A72">
            <w:r w:rsidRPr="008C06D6">
              <w:t>a.</w:t>
            </w:r>
          </w:p>
        </w:tc>
        <w:tc>
          <w:tcPr>
            <w:tcW w:w="6413" w:type="dxa"/>
          </w:tcPr>
          <w:p w:rsidR="007F069D" w:rsidRPr="008C06D6" w:rsidRDefault="007F069D" w:rsidP="00ED5A72">
            <w:pPr>
              <w:cnfStyle w:val="000000100000"/>
              <w:rPr>
                <w:b/>
                <w:bCs/>
              </w:rPr>
            </w:pPr>
            <w:r w:rsidRPr="008C06D6">
              <w:t>Severity  2  (minor injury)</w:t>
            </w:r>
          </w:p>
        </w:tc>
        <w:tc>
          <w:tcPr>
            <w:tcW w:w="720" w:type="dxa"/>
          </w:tcPr>
          <w:p w:rsidR="007F069D" w:rsidRPr="008C06D6" w:rsidRDefault="007F069D" w:rsidP="007F069D">
            <w:pPr>
              <w:jc w:val="center"/>
              <w:cnfStyle w:val="000000100000"/>
              <w:rPr>
                <w:b/>
                <w:bCs/>
              </w:rPr>
            </w:pPr>
            <w:r w:rsidRPr="008C06D6">
              <w:t>2</w:t>
            </w:r>
          </w:p>
        </w:tc>
        <w:tc>
          <w:tcPr>
            <w:tcW w:w="720" w:type="dxa"/>
          </w:tcPr>
          <w:p w:rsidR="007F069D" w:rsidRPr="008C06D6" w:rsidRDefault="007F069D" w:rsidP="007F069D">
            <w:pPr>
              <w:jc w:val="center"/>
              <w:cnfStyle w:val="000000100000"/>
            </w:pPr>
            <w:r>
              <w:t>1</w:t>
            </w:r>
          </w:p>
        </w:tc>
      </w:tr>
      <w:tr w:rsidR="007F069D" w:rsidRPr="008C06D6" w:rsidTr="00A41BAD">
        <w:trPr>
          <w:trHeight w:val="332"/>
          <w:jc w:val="center"/>
        </w:trPr>
        <w:tc>
          <w:tcPr>
            <w:cnfStyle w:val="001000000000"/>
            <w:tcW w:w="473" w:type="dxa"/>
          </w:tcPr>
          <w:p w:rsidR="007F069D" w:rsidRPr="008C06D6" w:rsidRDefault="007F069D" w:rsidP="00ED5A72">
            <w:r w:rsidRPr="008C06D6">
              <w:t>b.</w:t>
            </w:r>
          </w:p>
        </w:tc>
        <w:tc>
          <w:tcPr>
            <w:tcW w:w="6413" w:type="dxa"/>
          </w:tcPr>
          <w:p w:rsidR="007F069D" w:rsidRPr="008C06D6" w:rsidRDefault="007F069D" w:rsidP="00ED5A72">
            <w:pPr>
              <w:cnfStyle w:val="000000000000"/>
            </w:pPr>
            <w:r w:rsidRPr="008C06D6">
              <w:t xml:space="preserve">Severity  3  (major injury) </w:t>
            </w:r>
          </w:p>
        </w:tc>
        <w:tc>
          <w:tcPr>
            <w:tcW w:w="720" w:type="dxa"/>
          </w:tcPr>
          <w:p w:rsidR="007F069D" w:rsidRPr="008C06D6" w:rsidRDefault="007F069D" w:rsidP="007F069D">
            <w:pPr>
              <w:jc w:val="center"/>
              <w:cnfStyle w:val="000000000000"/>
            </w:pPr>
            <w:r w:rsidRPr="008C06D6">
              <w:t>47</w:t>
            </w:r>
          </w:p>
        </w:tc>
        <w:tc>
          <w:tcPr>
            <w:tcW w:w="720" w:type="dxa"/>
          </w:tcPr>
          <w:p w:rsidR="007F069D" w:rsidRPr="008C06D6" w:rsidRDefault="007F069D" w:rsidP="007F069D">
            <w:pPr>
              <w:jc w:val="center"/>
              <w:cnfStyle w:val="000000000000"/>
            </w:pPr>
            <w:r>
              <w:t>53</w:t>
            </w:r>
          </w:p>
        </w:tc>
      </w:tr>
      <w:tr w:rsidR="007F069D" w:rsidRPr="008C06D6" w:rsidTr="00A41BAD">
        <w:trPr>
          <w:cnfStyle w:val="000000100000"/>
          <w:trHeight w:val="347"/>
          <w:jc w:val="center"/>
        </w:trPr>
        <w:tc>
          <w:tcPr>
            <w:cnfStyle w:val="001000000000"/>
            <w:tcW w:w="473" w:type="dxa"/>
          </w:tcPr>
          <w:p w:rsidR="007F069D" w:rsidRPr="008C06D6" w:rsidRDefault="007F069D" w:rsidP="006F2E2C">
            <w:r w:rsidRPr="008C06D6">
              <w:t>c.</w:t>
            </w:r>
          </w:p>
        </w:tc>
        <w:tc>
          <w:tcPr>
            <w:tcW w:w="6413" w:type="dxa"/>
          </w:tcPr>
          <w:p w:rsidR="007F069D" w:rsidRPr="008C06D6" w:rsidRDefault="007F069D" w:rsidP="00ED5A72">
            <w:pPr>
              <w:cnfStyle w:val="000000100000"/>
            </w:pPr>
            <w:r w:rsidRPr="008C06D6">
              <w:t>Severity  4  (fatality)</w:t>
            </w:r>
          </w:p>
        </w:tc>
        <w:tc>
          <w:tcPr>
            <w:tcW w:w="720" w:type="dxa"/>
          </w:tcPr>
          <w:p w:rsidR="007F069D" w:rsidRPr="008C06D6" w:rsidRDefault="007F069D" w:rsidP="007F069D">
            <w:pPr>
              <w:jc w:val="center"/>
              <w:cnfStyle w:val="000000100000"/>
            </w:pPr>
            <w:r w:rsidRPr="008C06D6">
              <w:t>2</w:t>
            </w:r>
          </w:p>
        </w:tc>
        <w:tc>
          <w:tcPr>
            <w:tcW w:w="720" w:type="dxa"/>
          </w:tcPr>
          <w:p w:rsidR="007F069D" w:rsidRPr="008C06D6" w:rsidRDefault="007F069D" w:rsidP="007F069D">
            <w:pPr>
              <w:jc w:val="center"/>
              <w:cnfStyle w:val="000000100000"/>
            </w:pPr>
            <w:r>
              <w:t>4</w:t>
            </w:r>
          </w:p>
        </w:tc>
      </w:tr>
    </w:tbl>
    <w:p w:rsidR="00AE1DDC" w:rsidRDefault="00AE1DDC" w:rsidP="00AF5A9C">
      <w:pPr>
        <w:pStyle w:val="Heading2"/>
        <w:numPr>
          <w:ilvl w:val="1"/>
          <w:numId w:val="42"/>
        </w:numPr>
        <w:spacing w:before="240" w:after="120"/>
        <w:rPr>
          <w:rFonts w:asciiTheme="minorHAnsi" w:hAnsiTheme="minorHAnsi"/>
          <w:color w:val="auto"/>
        </w:rPr>
      </w:pPr>
      <w:bookmarkStart w:id="13" w:name="_Toc440869356"/>
      <w:r w:rsidRPr="0074631B">
        <w:rPr>
          <w:rFonts w:asciiTheme="minorHAnsi" w:hAnsiTheme="minorHAnsi"/>
          <w:color w:val="auto"/>
        </w:rPr>
        <w:t>Potential Severity</w:t>
      </w:r>
      <w:r w:rsidR="00A5463C" w:rsidRPr="0074631B">
        <w:rPr>
          <w:rFonts w:asciiTheme="minorHAnsi" w:hAnsiTheme="minorHAnsi"/>
          <w:color w:val="auto"/>
        </w:rPr>
        <w:t>:</w:t>
      </w:r>
      <w:bookmarkEnd w:id="13"/>
    </w:p>
    <w:tbl>
      <w:tblPr>
        <w:tblStyle w:val="MediumGrid1-Accent3"/>
        <w:tblW w:w="0" w:type="auto"/>
        <w:jc w:val="center"/>
        <w:tblLook w:val="04A0"/>
      </w:tblPr>
      <w:tblGrid>
        <w:gridCol w:w="467"/>
        <w:gridCol w:w="6396"/>
        <w:gridCol w:w="714"/>
        <w:gridCol w:w="728"/>
      </w:tblGrid>
      <w:tr w:rsidR="007F069D" w:rsidRPr="008C06D6" w:rsidTr="007F069D">
        <w:trPr>
          <w:cnfStyle w:val="100000000000"/>
          <w:trHeight w:val="269"/>
          <w:jc w:val="center"/>
        </w:trPr>
        <w:tc>
          <w:tcPr>
            <w:cnfStyle w:val="001000000000"/>
            <w:tcW w:w="6854" w:type="dxa"/>
            <w:gridSpan w:val="2"/>
          </w:tcPr>
          <w:p w:rsidR="007F069D" w:rsidRPr="008C06D6" w:rsidRDefault="007F069D" w:rsidP="006A5016"/>
        </w:tc>
        <w:tc>
          <w:tcPr>
            <w:tcW w:w="714" w:type="dxa"/>
          </w:tcPr>
          <w:p w:rsidR="007F069D" w:rsidRPr="008C06D6" w:rsidRDefault="007F069D" w:rsidP="007F069D">
            <w:pPr>
              <w:jc w:val="center"/>
              <w:cnfStyle w:val="100000000000"/>
            </w:pPr>
            <w:r>
              <w:t>2015</w:t>
            </w:r>
          </w:p>
        </w:tc>
        <w:tc>
          <w:tcPr>
            <w:tcW w:w="728" w:type="dxa"/>
          </w:tcPr>
          <w:p w:rsidR="007F069D" w:rsidRPr="008C06D6" w:rsidRDefault="007F069D" w:rsidP="007F069D">
            <w:pPr>
              <w:jc w:val="center"/>
              <w:cnfStyle w:val="100000000000"/>
            </w:pPr>
            <w:r>
              <w:t>2014</w:t>
            </w:r>
          </w:p>
        </w:tc>
      </w:tr>
      <w:tr w:rsidR="007F069D" w:rsidRPr="008C06D6" w:rsidTr="00A41BAD">
        <w:trPr>
          <w:cnfStyle w:val="000000100000"/>
          <w:trHeight w:val="269"/>
          <w:jc w:val="center"/>
        </w:trPr>
        <w:tc>
          <w:tcPr>
            <w:cnfStyle w:val="001000000000"/>
            <w:tcW w:w="458" w:type="dxa"/>
          </w:tcPr>
          <w:p w:rsidR="007F069D" w:rsidRPr="0074631B" w:rsidRDefault="007F069D" w:rsidP="006A5016">
            <w:r w:rsidRPr="0074631B">
              <w:t xml:space="preserve">B3 </w:t>
            </w:r>
          </w:p>
        </w:tc>
        <w:tc>
          <w:tcPr>
            <w:tcW w:w="6396" w:type="dxa"/>
          </w:tcPr>
          <w:p w:rsidR="007F069D" w:rsidRPr="008C06D6" w:rsidRDefault="007F069D" w:rsidP="006A5016">
            <w:pPr>
              <w:cnfStyle w:val="000000100000"/>
              <w:rPr>
                <w:b/>
                <w:bCs/>
              </w:rPr>
            </w:pPr>
            <w:r w:rsidRPr="008C06D6">
              <w:t xml:space="preserve">Major injury, heard of in the industry </w:t>
            </w:r>
          </w:p>
        </w:tc>
        <w:tc>
          <w:tcPr>
            <w:tcW w:w="714" w:type="dxa"/>
          </w:tcPr>
          <w:p w:rsidR="007F069D" w:rsidRPr="008C06D6" w:rsidRDefault="007F069D" w:rsidP="007F069D">
            <w:pPr>
              <w:jc w:val="center"/>
              <w:cnfStyle w:val="000000100000"/>
              <w:rPr>
                <w:b/>
                <w:bCs/>
              </w:rPr>
            </w:pPr>
            <w:r w:rsidRPr="008C06D6">
              <w:t>0</w:t>
            </w:r>
          </w:p>
        </w:tc>
        <w:tc>
          <w:tcPr>
            <w:tcW w:w="728" w:type="dxa"/>
          </w:tcPr>
          <w:p w:rsidR="007F069D" w:rsidRPr="008C06D6" w:rsidRDefault="00A41BAD" w:rsidP="007F069D">
            <w:pPr>
              <w:jc w:val="center"/>
              <w:cnfStyle w:val="000000100000"/>
            </w:pPr>
            <w:r>
              <w:t>2</w:t>
            </w:r>
          </w:p>
        </w:tc>
      </w:tr>
      <w:tr w:rsidR="007F069D" w:rsidRPr="008C06D6" w:rsidTr="00A41BAD">
        <w:trPr>
          <w:trHeight w:val="269"/>
          <w:jc w:val="center"/>
        </w:trPr>
        <w:tc>
          <w:tcPr>
            <w:cnfStyle w:val="001000000000"/>
            <w:tcW w:w="458" w:type="dxa"/>
          </w:tcPr>
          <w:p w:rsidR="007F069D" w:rsidRPr="0074631B" w:rsidRDefault="007F069D" w:rsidP="006A5016">
            <w:r w:rsidRPr="0074631B">
              <w:t xml:space="preserve">C3 </w:t>
            </w:r>
          </w:p>
        </w:tc>
        <w:tc>
          <w:tcPr>
            <w:tcW w:w="6396" w:type="dxa"/>
          </w:tcPr>
          <w:p w:rsidR="007F069D" w:rsidRPr="008C06D6" w:rsidRDefault="007F069D" w:rsidP="006A5016">
            <w:pPr>
              <w:cnfStyle w:val="000000000000"/>
            </w:pPr>
            <w:r w:rsidRPr="008C06D6">
              <w:t>Major injury, has happened in the company</w:t>
            </w:r>
          </w:p>
        </w:tc>
        <w:tc>
          <w:tcPr>
            <w:tcW w:w="714" w:type="dxa"/>
          </w:tcPr>
          <w:p w:rsidR="007F069D" w:rsidRPr="008C06D6" w:rsidRDefault="007F069D" w:rsidP="007F069D">
            <w:pPr>
              <w:jc w:val="center"/>
              <w:cnfStyle w:val="000000000000"/>
            </w:pPr>
            <w:r w:rsidRPr="008C06D6">
              <w:t>47</w:t>
            </w:r>
          </w:p>
        </w:tc>
        <w:tc>
          <w:tcPr>
            <w:tcW w:w="728" w:type="dxa"/>
          </w:tcPr>
          <w:p w:rsidR="007F069D" w:rsidRPr="008C06D6" w:rsidRDefault="00A41BAD" w:rsidP="007F069D">
            <w:pPr>
              <w:jc w:val="center"/>
              <w:cnfStyle w:val="000000000000"/>
            </w:pPr>
            <w:r>
              <w:t>48</w:t>
            </w:r>
          </w:p>
        </w:tc>
      </w:tr>
      <w:tr w:rsidR="007F069D" w:rsidRPr="008C06D6" w:rsidTr="00A41BAD">
        <w:trPr>
          <w:cnfStyle w:val="000000100000"/>
          <w:trHeight w:val="281"/>
          <w:jc w:val="center"/>
        </w:trPr>
        <w:tc>
          <w:tcPr>
            <w:cnfStyle w:val="001000000000"/>
            <w:tcW w:w="458" w:type="dxa"/>
          </w:tcPr>
          <w:p w:rsidR="007F069D" w:rsidRPr="0074631B" w:rsidRDefault="007F069D" w:rsidP="006A5016">
            <w:r w:rsidRPr="0074631B">
              <w:t xml:space="preserve">C4 </w:t>
            </w:r>
          </w:p>
        </w:tc>
        <w:tc>
          <w:tcPr>
            <w:tcW w:w="6396" w:type="dxa"/>
          </w:tcPr>
          <w:p w:rsidR="007F069D" w:rsidRPr="008C06D6" w:rsidRDefault="007F069D" w:rsidP="006A5016">
            <w:pPr>
              <w:cnfStyle w:val="000000100000"/>
            </w:pPr>
            <w:r w:rsidRPr="008C06D6">
              <w:t xml:space="preserve">Fatal injury, has happened in the company </w:t>
            </w:r>
          </w:p>
        </w:tc>
        <w:tc>
          <w:tcPr>
            <w:tcW w:w="714" w:type="dxa"/>
          </w:tcPr>
          <w:p w:rsidR="007F069D" w:rsidRPr="008C06D6" w:rsidRDefault="007F069D" w:rsidP="007F069D">
            <w:pPr>
              <w:jc w:val="center"/>
              <w:cnfStyle w:val="000000100000"/>
            </w:pPr>
            <w:r w:rsidRPr="008C06D6">
              <w:t>2</w:t>
            </w:r>
          </w:p>
        </w:tc>
        <w:tc>
          <w:tcPr>
            <w:tcW w:w="728" w:type="dxa"/>
          </w:tcPr>
          <w:p w:rsidR="007F069D" w:rsidRPr="008C06D6" w:rsidRDefault="00A41BAD" w:rsidP="007F069D">
            <w:pPr>
              <w:jc w:val="center"/>
              <w:cnfStyle w:val="000000100000"/>
            </w:pPr>
            <w:r>
              <w:t>1</w:t>
            </w:r>
          </w:p>
        </w:tc>
      </w:tr>
      <w:tr w:rsidR="007F069D" w:rsidRPr="008C06D6" w:rsidTr="00A41BAD">
        <w:trPr>
          <w:trHeight w:val="281"/>
          <w:jc w:val="center"/>
        </w:trPr>
        <w:tc>
          <w:tcPr>
            <w:cnfStyle w:val="001000000000"/>
            <w:tcW w:w="458" w:type="dxa"/>
          </w:tcPr>
          <w:p w:rsidR="007F069D" w:rsidRPr="0074631B" w:rsidRDefault="007F069D" w:rsidP="006A5016">
            <w:r w:rsidRPr="0074631B">
              <w:t xml:space="preserve">D2 </w:t>
            </w:r>
          </w:p>
        </w:tc>
        <w:tc>
          <w:tcPr>
            <w:tcW w:w="6396" w:type="dxa"/>
          </w:tcPr>
          <w:p w:rsidR="007F069D" w:rsidRPr="008C06D6" w:rsidRDefault="007F069D" w:rsidP="006A5016">
            <w:pPr>
              <w:cnfStyle w:val="000000000000"/>
            </w:pPr>
            <w:r w:rsidRPr="008C06D6">
              <w:t>Minor injury, has happened more than once a year in the company</w:t>
            </w:r>
          </w:p>
        </w:tc>
        <w:tc>
          <w:tcPr>
            <w:tcW w:w="714" w:type="dxa"/>
          </w:tcPr>
          <w:p w:rsidR="007F069D" w:rsidRPr="008C06D6" w:rsidRDefault="007F069D" w:rsidP="007F069D">
            <w:pPr>
              <w:jc w:val="center"/>
              <w:cnfStyle w:val="000000000000"/>
            </w:pPr>
            <w:r w:rsidRPr="008C06D6">
              <w:t>2</w:t>
            </w:r>
          </w:p>
        </w:tc>
        <w:tc>
          <w:tcPr>
            <w:tcW w:w="728" w:type="dxa"/>
          </w:tcPr>
          <w:p w:rsidR="007F069D" w:rsidRPr="008C06D6" w:rsidRDefault="00A41BAD" w:rsidP="007F069D">
            <w:pPr>
              <w:jc w:val="center"/>
              <w:cnfStyle w:val="000000000000"/>
            </w:pPr>
            <w:r>
              <w:t>1</w:t>
            </w:r>
          </w:p>
        </w:tc>
      </w:tr>
      <w:tr w:rsidR="00A41BAD" w:rsidRPr="008C06D6" w:rsidTr="00A41BAD">
        <w:trPr>
          <w:cnfStyle w:val="000000100000"/>
          <w:trHeight w:val="281"/>
          <w:jc w:val="center"/>
        </w:trPr>
        <w:tc>
          <w:tcPr>
            <w:cnfStyle w:val="001000000000"/>
            <w:tcW w:w="458" w:type="dxa"/>
          </w:tcPr>
          <w:p w:rsidR="00A41BAD" w:rsidRPr="0074631B" w:rsidRDefault="00A41BAD" w:rsidP="006A5016">
            <w:r>
              <w:t>D3</w:t>
            </w:r>
          </w:p>
        </w:tc>
        <w:tc>
          <w:tcPr>
            <w:tcW w:w="6396" w:type="dxa"/>
          </w:tcPr>
          <w:p w:rsidR="00A41BAD" w:rsidRPr="008C06D6" w:rsidRDefault="00A41BAD" w:rsidP="006A5016">
            <w:pPr>
              <w:cnfStyle w:val="000000100000"/>
            </w:pPr>
            <w:r>
              <w:t xml:space="preserve">Major injury, </w:t>
            </w:r>
            <w:r w:rsidRPr="00B6217B">
              <w:t>has happened more than once a year in the company</w:t>
            </w:r>
          </w:p>
        </w:tc>
        <w:tc>
          <w:tcPr>
            <w:tcW w:w="714" w:type="dxa"/>
          </w:tcPr>
          <w:p w:rsidR="00A41BAD" w:rsidRPr="008C06D6" w:rsidRDefault="00A41BAD" w:rsidP="007F069D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728" w:type="dxa"/>
          </w:tcPr>
          <w:p w:rsidR="00A41BAD" w:rsidRPr="008C06D6" w:rsidRDefault="00A41BAD" w:rsidP="007F069D">
            <w:pPr>
              <w:jc w:val="center"/>
              <w:cnfStyle w:val="000000100000"/>
            </w:pPr>
            <w:r>
              <w:t>4</w:t>
            </w:r>
          </w:p>
        </w:tc>
      </w:tr>
      <w:tr w:rsidR="00A41BAD" w:rsidRPr="008C06D6" w:rsidTr="00A41BAD">
        <w:trPr>
          <w:trHeight w:val="281"/>
          <w:jc w:val="center"/>
        </w:trPr>
        <w:tc>
          <w:tcPr>
            <w:cnfStyle w:val="001000000000"/>
            <w:tcW w:w="458" w:type="dxa"/>
          </w:tcPr>
          <w:p w:rsidR="00A41BAD" w:rsidRPr="0074631B" w:rsidRDefault="00A41BAD" w:rsidP="006A5016">
            <w:r>
              <w:t>D4</w:t>
            </w:r>
          </w:p>
        </w:tc>
        <w:tc>
          <w:tcPr>
            <w:tcW w:w="6396" w:type="dxa"/>
          </w:tcPr>
          <w:p w:rsidR="00A41BAD" w:rsidRPr="00A41BAD" w:rsidRDefault="00A41BAD" w:rsidP="006A5016">
            <w:pPr>
              <w:cnfStyle w:val="000000000000"/>
            </w:pPr>
            <w:r w:rsidRPr="00A41BAD">
              <w:t>PTD or up to 3 fatality, has happened more than once in the industry</w:t>
            </w:r>
          </w:p>
        </w:tc>
        <w:tc>
          <w:tcPr>
            <w:tcW w:w="714" w:type="dxa"/>
          </w:tcPr>
          <w:p w:rsidR="00A41BAD" w:rsidRPr="008C06D6" w:rsidRDefault="00A41BAD" w:rsidP="007F069D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728" w:type="dxa"/>
          </w:tcPr>
          <w:p w:rsidR="00A41BAD" w:rsidRPr="008C06D6" w:rsidRDefault="00A41BAD" w:rsidP="007F069D">
            <w:pPr>
              <w:jc w:val="center"/>
              <w:cnfStyle w:val="000000000000"/>
            </w:pPr>
            <w:r>
              <w:t>2</w:t>
            </w:r>
          </w:p>
        </w:tc>
      </w:tr>
    </w:tbl>
    <w:p w:rsidR="00FA2197" w:rsidRPr="0074631B" w:rsidRDefault="00FA2197" w:rsidP="00AF5A9C">
      <w:pPr>
        <w:pStyle w:val="Heading2"/>
        <w:numPr>
          <w:ilvl w:val="1"/>
          <w:numId w:val="42"/>
        </w:numPr>
        <w:spacing w:before="240" w:after="120"/>
        <w:rPr>
          <w:rFonts w:asciiTheme="minorHAnsi" w:hAnsiTheme="minorHAnsi"/>
          <w:color w:val="auto"/>
        </w:rPr>
      </w:pPr>
      <w:bookmarkStart w:id="14" w:name="_Toc440869357"/>
      <w:r w:rsidRPr="0074631B">
        <w:rPr>
          <w:rFonts w:asciiTheme="minorHAnsi" w:hAnsiTheme="minorHAnsi"/>
          <w:color w:val="auto"/>
        </w:rPr>
        <w:t>Types of underlying causes:</w:t>
      </w:r>
      <w:bookmarkEnd w:id="14"/>
    </w:p>
    <w:p w:rsidR="00701B42" w:rsidRPr="0074631B" w:rsidRDefault="00F44196" w:rsidP="00B96B27">
      <w:pPr>
        <w:pStyle w:val="Heading2"/>
        <w:numPr>
          <w:ilvl w:val="2"/>
          <w:numId w:val="42"/>
        </w:numPr>
        <w:spacing w:before="240" w:after="120"/>
        <w:ind w:left="1080" w:hanging="234"/>
        <w:rPr>
          <w:b w:val="0"/>
          <w:bCs w:val="0"/>
          <w:color w:val="auto"/>
        </w:rPr>
      </w:pPr>
      <w:r w:rsidRPr="00F44196">
        <w:rPr>
          <w:b w:val="0"/>
          <w:bCs w:val="0"/>
          <w:noProof/>
        </w:rPr>
        <w:pict>
          <v:shape id="_x0000_s1032" type="#_x0000_t202" style="position:absolute;left:0;text-align:left;margin-left:.45pt;margin-top:21.55pt;width:434.2pt;height:357.9pt;z-index:251697152" filled="f" stroked="f">
            <v:textbox style="mso-next-textbox:#_x0000_s1032">
              <w:txbxContent>
                <w:tbl>
                  <w:tblPr>
                    <w:tblW w:w="8343" w:type="dxa"/>
                    <w:jc w:val="center"/>
                    <w:tblInd w:w="48" w:type="dxa"/>
                    <w:tblBorders>
                      <w:top w:val="single" w:sz="8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93"/>
                    <w:gridCol w:w="630"/>
                    <w:gridCol w:w="720"/>
                    <w:gridCol w:w="1080"/>
                    <w:gridCol w:w="4320"/>
                  </w:tblGrid>
                  <w:tr w:rsidR="007F069D" w:rsidRPr="008C06D6" w:rsidTr="00A41BAD">
                    <w:trPr>
                      <w:trHeight w:val="527"/>
                      <w:jc w:val="center"/>
                    </w:trPr>
                    <w:tc>
                      <w:tcPr>
                        <w:tcW w:w="1593" w:type="dxa"/>
                        <w:shd w:val="clear" w:color="auto" w:fill="C2D69B" w:themeFill="accent3" w:themeFillTint="99"/>
                        <w:vAlign w:val="center"/>
                        <w:hideMark/>
                      </w:tcPr>
                      <w:p w:rsidR="007F069D" w:rsidRPr="008C06D6" w:rsidRDefault="007F069D" w:rsidP="001D20C4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Underlying Cause</w:t>
                        </w:r>
                      </w:p>
                    </w:tc>
                    <w:tc>
                      <w:tcPr>
                        <w:tcW w:w="630" w:type="dxa"/>
                        <w:shd w:val="clear" w:color="auto" w:fill="C2D69B" w:themeFill="accent3" w:themeFillTint="99"/>
                        <w:vAlign w:val="center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2015</w:t>
                        </w:r>
                      </w:p>
                    </w:tc>
                    <w:tc>
                      <w:tcPr>
                        <w:tcW w:w="720" w:type="dxa"/>
                        <w:shd w:val="clear" w:color="auto" w:fill="C2D69B" w:themeFill="accent3" w:themeFillTint="99"/>
                        <w:vAlign w:val="center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2014</w:t>
                        </w:r>
                      </w:p>
                    </w:tc>
                    <w:tc>
                      <w:tcPr>
                        <w:tcW w:w="1080" w:type="dxa"/>
                        <w:shd w:val="clear" w:color="auto" w:fill="C2D69B" w:themeFill="accent3" w:themeFillTint="99"/>
                        <w:vAlign w:val="center"/>
                      </w:tcPr>
                      <w:p w:rsidR="007F069D" w:rsidRPr="008C06D6" w:rsidRDefault="007F069D" w:rsidP="001D20C4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% Change</w:t>
                        </w:r>
                      </w:p>
                    </w:tc>
                    <w:tc>
                      <w:tcPr>
                        <w:tcW w:w="4320" w:type="dxa"/>
                        <w:shd w:val="clear" w:color="auto" w:fill="C2D69B" w:themeFill="accent3" w:themeFillTint="99"/>
                        <w:vAlign w:val="center"/>
                        <w:hideMark/>
                      </w:tcPr>
                      <w:p w:rsidR="007F069D" w:rsidRPr="008C06D6" w:rsidRDefault="007F069D" w:rsidP="001D20C4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Description of Underlying Cause - Tripod Beta - (Casual Review)</w:t>
                        </w:r>
                      </w:p>
                    </w:tc>
                  </w:tr>
                  <w:tr w:rsidR="007F069D" w:rsidRPr="008C06D6" w:rsidTr="007F069D">
                    <w:trPr>
                      <w:trHeight w:val="265"/>
                      <w:jc w:val="center"/>
                    </w:trPr>
                    <w:tc>
                      <w:tcPr>
                        <w:tcW w:w="1593" w:type="dxa"/>
                        <w:shd w:val="clear" w:color="auto" w:fill="C2D69B" w:themeFill="accent3" w:themeFillTint="99"/>
                        <w:vAlign w:val="center"/>
                        <w:hideMark/>
                      </w:tcPr>
                      <w:p w:rsidR="007F069D" w:rsidRPr="008C06D6" w:rsidRDefault="007F069D" w:rsidP="001D20C4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Training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72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48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  <w:t>(50)</w:t>
                        </w:r>
                      </w:p>
                    </w:tc>
                    <w:tc>
                      <w:tcPr>
                        <w:tcW w:w="4320" w:type="dxa"/>
                        <w:shd w:val="clear" w:color="auto" w:fill="auto"/>
                        <w:hideMark/>
                      </w:tcPr>
                      <w:p w:rsidR="007F069D" w:rsidRPr="008C06D6" w:rsidRDefault="007F069D" w:rsidP="006A5016">
                        <w:pPr>
                          <w:spacing w:after="0" w:line="240" w:lineRule="auto"/>
                          <w:jc w:val="both"/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  <w:t>Deficiencies in systems providing knowledge and skills</w:t>
                        </w:r>
                      </w:p>
                    </w:tc>
                  </w:tr>
                  <w:tr w:rsidR="007F069D" w:rsidRPr="008C06D6" w:rsidTr="007F069D">
                    <w:trPr>
                      <w:trHeight w:val="542"/>
                      <w:jc w:val="center"/>
                    </w:trPr>
                    <w:tc>
                      <w:tcPr>
                        <w:tcW w:w="1593" w:type="dxa"/>
                        <w:shd w:val="clear" w:color="auto" w:fill="C2D69B" w:themeFill="accent3" w:themeFillTint="99"/>
                        <w:vAlign w:val="center"/>
                        <w:hideMark/>
                      </w:tcPr>
                      <w:p w:rsidR="007F069D" w:rsidRPr="008C06D6" w:rsidRDefault="007F069D" w:rsidP="001D20C4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Incompatible Goals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72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74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  <w:t>(66)</w:t>
                        </w:r>
                      </w:p>
                    </w:tc>
                    <w:tc>
                      <w:tcPr>
                        <w:tcW w:w="4320" w:type="dxa"/>
                        <w:shd w:val="clear" w:color="auto" w:fill="auto"/>
                        <w:hideMark/>
                      </w:tcPr>
                      <w:p w:rsidR="007F069D" w:rsidRPr="008C06D6" w:rsidRDefault="007F069D" w:rsidP="006A5016">
                        <w:pPr>
                          <w:spacing w:after="0" w:line="240" w:lineRule="auto"/>
                          <w:jc w:val="both"/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  <w:t>Failure to manage conflict: between formal rules &amp; informal rules of a work group or between demand of a task and personal preoccupations or distractions.</w:t>
                        </w:r>
                      </w:p>
                    </w:tc>
                  </w:tr>
                  <w:tr w:rsidR="007F069D" w:rsidRPr="008C06D6" w:rsidTr="007F069D">
                    <w:trPr>
                      <w:trHeight w:val="330"/>
                      <w:jc w:val="center"/>
                    </w:trPr>
                    <w:tc>
                      <w:tcPr>
                        <w:tcW w:w="1593" w:type="dxa"/>
                        <w:shd w:val="clear" w:color="auto" w:fill="C2D69B" w:themeFill="accent3" w:themeFillTint="99"/>
                        <w:vAlign w:val="center"/>
                        <w:hideMark/>
                      </w:tcPr>
                      <w:p w:rsidR="007F069D" w:rsidRPr="008C06D6" w:rsidRDefault="007F069D" w:rsidP="001D20C4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Communication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72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49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  <w:t>(53)</w:t>
                        </w:r>
                      </w:p>
                    </w:tc>
                    <w:tc>
                      <w:tcPr>
                        <w:tcW w:w="4320" w:type="dxa"/>
                        <w:shd w:val="clear" w:color="auto" w:fill="auto"/>
                        <w:hideMark/>
                      </w:tcPr>
                      <w:p w:rsidR="007F069D" w:rsidRPr="008C06D6" w:rsidRDefault="007F069D" w:rsidP="006A5016">
                        <w:pPr>
                          <w:spacing w:after="0" w:line="240" w:lineRule="auto"/>
                          <w:jc w:val="both"/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  <w:t>Failure in effectively transmitting information.</w:t>
                        </w:r>
                      </w:p>
                    </w:tc>
                  </w:tr>
                  <w:tr w:rsidR="007F069D" w:rsidRPr="008C06D6" w:rsidTr="007F069D">
                    <w:trPr>
                      <w:trHeight w:val="265"/>
                      <w:jc w:val="center"/>
                    </w:trPr>
                    <w:tc>
                      <w:tcPr>
                        <w:tcW w:w="1593" w:type="dxa"/>
                        <w:shd w:val="clear" w:color="auto" w:fill="C2D69B" w:themeFill="accent3" w:themeFillTint="99"/>
                        <w:vAlign w:val="center"/>
                        <w:hideMark/>
                      </w:tcPr>
                      <w:p w:rsidR="007F069D" w:rsidRPr="008C06D6" w:rsidRDefault="007F069D" w:rsidP="001D20C4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Procedures</w:t>
                        </w:r>
                      </w:p>
                    </w:tc>
                    <w:tc>
                      <w:tcPr>
                        <w:tcW w:w="630" w:type="dxa"/>
                        <w:shd w:val="clear" w:color="auto" w:fill="FFFFFF" w:themeFill="background1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  <w:tc>
                      <w:tcPr>
                        <w:tcW w:w="720" w:type="dxa"/>
                        <w:shd w:val="clear" w:color="auto" w:fill="FFFFFF" w:themeFill="background1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68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 w:themeFill="background1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  <w:t>(41)</w:t>
                        </w:r>
                      </w:p>
                    </w:tc>
                    <w:tc>
                      <w:tcPr>
                        <w:tcW w:w="4320" w:type="dxa"/>
                        <w:shd w:val="clear" w:color="auto" w:fill="FFFFFF" w:themeFill="background1"/>
                        <w:hideMark/>
                      </w:tcPr>
                      <w:p w:rsidR="007F069D" w:rsidRPr="008C06D6" w:rsidRDefault="007F069D" w:rsidP="006A5016">
                        <w:pPr>
                          <w:spacing w:after="0" w:line="240" w:lineRule="auto"/>
                          <w:jc w:val="both"/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  <w:t>Unavailable, incorrect, outdated or otherwise unusable.</w:t>
                        </w:r>
                      </w:p>
                    </w:tc>
                  </w:tr>
                  <w:tr w:rsidR="007F069D" w:rsidRPr="008C06D6" w:rsidTr="007F069D">
                    <w:trPr>
                      <w:trHeight w:val="265"/>
                      <w:jc w:val="center"/>
                    </w:trPr>
                    <w:tc>
                      <w:tcPr>
                        <w:tcW w:w="1593" w:type="dxa"/>
                        <w:shd w:val="clear" w:color="auto" w:fill="C2D69B" w:themeFill="accent3" w:themeFillTint="99"/>
                        <w:vAlign w:val="center"/>
                        <w:hideMark/>
                      </w:tcPr>
                      <w:p w:rsidR="007F069D" w:rsidRPr="008C06D6" w:rsidRDefault="007F069D" w:rsidP="001D20C4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Design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72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36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  <w:t>(47)</w:t>
                        </w:r>
                      </w:p>
                    </w:tc>
                    <w:tc>
                      <w:tcPr>
                        <w:tcW w:w="4320" w:type="dxa"/>
                        <w:shd w:val="clear" w:color="auto" w:fill="auto"/>
                        <w:hideMark/>
                      </w:tcPr>
                      <w:p w:rsidR="007F069D" w:rsidRPr="008C06D6" w:rsidRDefault="007F069D" w:rsidP="006A5016">
                        <w:pPr>
                          <w:spacing w:after="0" w:line="240" w:lineRule="auto"/>
                          <w:jc w:val="both"/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  <w:t>Deficiencies in layout or design of facilities, plant or equipment.</w:t>
                        </w:r>
                      </w:p>
                    </w:tc>
                  </w:tr>
                  <w:tr w:rsidR="007F069D" w:rsidRPr="008C06D6" w:rsidTr="007F069D">
                    <w:trPr>
                      <w:trHeight w:val="265"/>
                      <w:jc w:val="center"/>
                    </w:trPr>
                    <w:tc>
                      <w:tcPr>
                        <w:tcW w:w="1593" w:type="dxa"/>
                        <w:shd w:val="clear" w:color="auto" w:fill="C2D69B" w:themeFill="accent3" w:themeFillTint="99"/>
                        <w:vAlign w:val="center"/>
                        <w:hideMark/>
                      </w:tcPr>
                      <w:p w:rsidR="007F069D" w:rsidRPr="008C06D6" w:rsidRDefault="007F069D" w:rsidP="001D20C4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Organisation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72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  <w:t>(29</w:t>
                        </w:r>
                      </w:p>
                    </w:tc>
                    <w:tc>
                      <w:tcPr>
                        <w:tcW w:w="4320" w:type="dxa"/>
                        <w:shd w:val="clear" w:color="auto" w:fill="auto"/>
                        <w:hideMark/>
                      </w:tcPr>
                      <w:p w:rsidR="007F069D" w:rsidRPr="008C06D6" w:rsidRDefault="007F069D" w:rsidP="006A5016">
                        <w:pPr>
                          <w:spacing w:after="0" w:line="240" w:lineRule="auto"/>
                          <w:jc w:val="both"/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  <w:t>Deficiencies in company structure or way tasks/responsibilities are assigned</w:t>
                        </w:r>
                      </w:p>
                    </w:tc>
                  </w:tr>
                  <w:tr w:rsidR="007F069D" w:rsidRPr="008C06D6" w:rsidTr="007F069D">
                    <w:trPr>
                      <w:trHeight w:val="527"/>
                      <w:jc w:val="center"/>
                    </w:trPr>
                    <w:tc>
                      <w:tcPr>
                        <w:tcW w:w="1593" w:type="dxa"/>
                        <w:shd w:val="clear" w:color="auto" w:fill="C2D69B" w:themeFill="accent3" w:themeFillTint="99"/>
                        <w:vAlign w:val="center"/>
                        <w:hideMark/>
                      </w:tcPr>
                      <w:p w:rsidR="007F069D" w:rsidRPr="008C06D6" w:rsidRDefault="007F069D" w:rsidP="001D20C4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Error Enforcing Conditions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72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49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  <w:t>(75)</w:t>
                        </w:r>
                      </w:p>
                    </w:tc>
                    <w:tc>
                      <w:tcPr>
                        <w:tcW w:w="4320" w:type="dxa"/>
                        <w:shd w:val="clear" w:color="auto" w:fill="auto"/>
                        <w:hideMark/>
                      </w:tcPr>
                      <w:p w:rsidR="007F069D" w:rsidRPr="008C06D6" w:rsidRDefault="007F069D" w:rsidP="006A5016">
                        <w:pPr>
                          <w:spacing w:after="0" w:line="240" w:lineRule="auto"/>
                          <w:jc w:val="both"/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  <w:t>Time pressure, macho behavior, physical working conditions (hot, noisy etc) promoting errors or violations.</w:t>
                        </w:r>
                      </w:p>
                    </w:tc>
                  </w:tr>
                  <w:tr w:rsidR="007F069D" w:rsidRPr="008C06D6" w:rsidTr="007F069D">
                    <w:trPr>
                      <w:trHeight w:val="265"/>
                      <w:jc w:val="center"/>
                    </w:trPr>
                    <w:tc>
                      <w:tcPr>
                        <w:tcW w:w="1593" w:type="dxa"/>
                        <w:shd w:val="clear" w:color="auto" w:fill="C2D69B" w:themeFill="accent3" w:themeFillTint="99"/>
                        <w:vAlign w:val="center"/>
                        <w:hideMark/>
                      </w:tcPr>
                      <w:p w:rsidR="007F069D" w:rsidRPr="008C06D6" w:rsidRDefault="007F069D" w:rsidP="001D20C4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Hardware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72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  <w:t>(50)</w:t>
                        </w:r>
                      </w:p>
                    </w:tc>
                    <w:tc>
                      <w:tcPr>
                        <w:tcW w:w="4320" w:type="dxa"/>
                        <w:shd w:val="clear" w:color="auto" w:fill="auto"/>
                        <w:hideMark/>
                      </w:tcPr>
                      <w:p w:rsidR="007F069D" w:rsidRPr="008C06D6" w:rsidRDefault="007F069D" w:rsidP="006A5016">
                        <w:pPr>
                          <w:spacing w:after="0" w:line="240" w:lineRule="auto"/>
                          <w:jc w:val="both"/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  <w:t>Inadequate quality or non availability of materials or equipment.</w:t>
                        </w:r>
                      </w:p>
                    </w:tc>
                  </w:tr>
                  <w:tr w:rsidR="007F069D" w:rsidRPr="008C06D6" w:rsidTr="007F069D">
                    <w:trPr>
                      <w:trHeight w:val="277"/>
                      <w:jc w:val="center"/>
                    </w:trPr>
                    <w:tc>
                      <w:tcPr>
                        <w:tcW w:w="1593" w:type="dxa"/>
                        <w:shd w:val="clear" w:color="auto" w:fill="C2D69B" w:themeFill="accent3" w:themeFillTint="99"/>
                        <w:vAlign w:val="center"/>
                        <w:hideMark/>
                      </w:tcPr>
                      <w:p w:rsidR="007F069D" w:rsidRPr="008C06D6" w:rsidRDefault="007F069D" w:rsidP="001D20C4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Maintenance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72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  <w:t>(25)</w:t>
                        </w:r>
                      </w:p>
                    </w:tc>
                    <w:tc>
                      <w:tcPr>
                        <w:tcW w:w="4320" w:type="dxa"/>
                        <w:shd w:val="clear" w:color="auto" w:fill="auto"/>
                        <w:hideMark/>
                      </w:tcPr>
                      <w:p w:rsidR="007F069D" w:rsidRPr="008C06D6" w:rsidRDefault="007F069D" w:rsidP="006A5016">
                        <w:pPr>
                          <w:spacing w:after="0" w:line="240" w:lineRule="auto"/>
                          <w:jc w:val="both"/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  <w:t>Failures in the system for ensuring technical integrity of facilities, plant, equip tools.</w:t>
                        </w:r>
                      </w:p>
                    </w:tc>
                  </w:tr>
                  <w:tr w:rsidR="007F069D" w:rsidRPr="008C06D6" w:rsidTr="007F069D">
                    <w:trPr>
                      <w:trHeight w:val="277"/>
                      <w:jc w:val="center"/>
                    </w:trPr>
                    <w:tc>
                      <w:tcPr>
                        <w:tcW w:w="1593" w:type="dxa"/>
                        <w:shd w:val="clear" w:color="auto" w:fill="C2D69B" w:themeFill="accent3" w:themeFillTint="99"/>
                        <w:vAlign w:val="center"/>
                        <w:hideMark/>
                      </w:tcPr>
                      <w:p w:rsidR="007F069D" w:rsidRPr="008C06D6" w:rsidRDefault="007F069D" w:rsidP="001D20C4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Housekeeping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72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4320" w:type="dxa"/>
                        <w:shd w:val="clear" w:color="auto" w:fill="auto"/>
                        <w:hideMark/>
                      </w:tcPr>
                      <w:p w:rsidR="007F069D" w:rsidRPr="008C06D6" w:rsidRDefault="007F069D" w:rsidP="006A5016">
                        <w:pPr>
                          <w:spacing w:after="0" w:line="240" w:lineRule="auto"/>
                          <w:jc w:val="both"/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  <w:t>Failures in systems for reduction of the consequences.</w:t>
                        </w:r>
                      </w:p>
                    </w:tc>
                  </w:tr>
                  <w:tr w:rsidR="007F069D" w:rsidRPr="008C06D6" w:rsidTr="007F069D">
                    <w:trPr>
                      <w:trHeight w:val="277"/>
                      <w:jc w:val="center"/>
                    </w:trPr>
                    <w:tc>
                      <w:tcPr>
                        <w:tcW w:w="1593" w:type="dxa"/>
                        <w:shd w:val="clear" w:color="auto" w:fill="C2D69B" w:themeFill="accent3" w:themeFillTint="99"/>
                        <w:vAlign w:val="center"/>
                        <w:hideMark/>
                      </w:tcPr>
                      <w:p w:rsidR="007F069D" w:rsidRPr="008C06D6" w:rsidRDefault="007F069D" w:rsidP="001D20C4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AE7FA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Defences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7F069D" w:rsidRPr="008C06D6" w:rsidRDefault="007F069D" w:rsidP="00A41BAD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4320" w:type="dxa"/>
                        <w:shd w:val="clear" w:color="auto" w:fill="auto"/>
                        <w:hideMark/>
                      </w:tcPr>
                      <w:p w:rsidR="007F069D" w:rsidRPr="008C06D6" w:rsidRDefault="007F069D" w:rsidP="006A5016">
                        <w:pPr>
                          <w:spacing w:after="0" w:line="240" w:lineRule="auto"/>
                          <w:jc w:val="both"/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</w:pPr>
                        <w:r w:rsidRPr="008C06D6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</w:rPr>
                          <w:t>Failure in the system for the reduction of the consequences of events.</w:t>
                        </w:r>
                      </w:p>
                    </w:tc>
                  </w:tr>
                </w:tbl>
                <w:p w:rsidR="007F069D" w:rsidRPr="008C06D6" w:rsidRDefault="007F069D"/>
              </w:txbxContent>
            </v:textbox>
          </v:shape>
        </w:pict>
      </w:r>
      <w:bookmarkStart w:id="15" w:name="_Toc440869358"/>
      <w:r w:rsidR="00E6448E" w:rsidRPr="0074631B">
        <w:rPr>
          <w:b w:val="0"/>
          <w:bCs w:val="0"/>
          <w:color w:val="auto"/>
        </w:rPr>
        <w:t>Comparison table for the underlying causes:</w:t>
      </w:r>
      <w:bookmarkEnd w:id="15"/>
    </w:p>
    <w:p w:rsidR="00FA2197" w:rsidRPr="008C06D6" w:rsidRDefault="00FA2197" w:rsidP="00FA2197">
      <w:pPr>
        <w:pStyle w:val="ListParagraph"/>
        <w:ind w:left="360"/>
        <w:rPr>
          <w:b/>
          <w:bCs/>
        </w:rPr>
      </w:pPr>
    </w:p>
    <w:p w:rsidR="00FA2197" w:rsidRPr="008C06D6" w:rsidRDefault="00FA2197" w:rsidP="00FA2197">
      <w:pPr>
        <w:rPr>
          <w:b/>
          <w:bCs/>
        </w:rPr>
      </w:pPr>
    </w:p>
    <w:p w:rsidR="004F187A" w:rsidRPr="008C06D6" w:rsidRDefault="004F187A" w:rsidP="00553CDF">
      <w:pPr>
        <w:rPr>
          <w:b/>
          <w:bCs/>
        </w:rPr>
      </w:pPr>
    </w:p>
    <w:p w:rsidR="004F50F2" w:rsidRPr="008C06D6" w:rsidRDefault="004F50F2" w:rsidP="00553CDF">
      <w:pPr>
        <w:rPr>
          <w:b/>
          <w:bCs/>
        </w:rPr>
      </w:pPr>
    </w:p>
    <w:p w:rsidR="004F50F2" w:rsidRPr="008C06D6" w:rsidRDefault="004F50F2" w:rsidP="00553CDF">
      <w:pPr>
        <w:rPr>
          <w:b/>
          <w:bCs/>
        </w:rPr>
      </w:pPr>
    </w:p>
    <w:p w:rsidR="004F50F2" w:rsidRPr="008C06D6" w:rsidRDefault="004F50F2" w:rsidP="00553CDF">
      <w:pPr>
        <w:rPr>
          <w:b/>
          <w:bCs/>
        </w:rPr>
      </w:pPr>
    </w:p>
    <w:p w:rsidR="004F50F2" w:rsidRPr="008C06D6" w:rsidRDefault="004F50F2" w:rsidP="00553CDF">
      <w:pPr>
        <w:rPr>
          <w:b/>
          <w:bCs/>
        </w:rPr>
      </w:pPr>
    </w:p>
    <w:p w:rsidR="004F50F2" w:rsidRPr="008C06D6" w:rsidRDefault="004F50F2" w:rsidP="00553CDF">
      <w:pPr>
        <w:rPr>
          <w:b/>
          <w:bCs/>
        </w:rPr>
      </w:pPr>
    </w:p>
    <w:p w:rsidR="004F50F2" w:rsidRPr="008C06D6" w:rsidRDefault="004F50F2" w:rsidP="00553CDF">
      <w:pPr>
        <w:rPr>
          <w:b/>
          <w:bCs/>
        </w:rPr>
      </w:pPr>
    </w:p>
    <w:p w:rsidR="007E6E33" w:rsidRPr="008C06D6" w:rsidRDefault="007E6E33" w:rsidP="007E6E33">
      <w:pPr>
        <w:rPr>
          <w:b/>
          <w:bCs/>
        </w:rPr>
      </w:pPr>
    </w:p>
    <w:p w:rsidR="007E6E33" w:rsidRPr="008C06D6" w:rsidRDefault="007E6E33" w:rsidP="007E6E33">
      <w:pPr>
        <w:rPr>
          <w:b/>
          <w:bCs/>
        </w:rPr>
      </w:pPr>
    </w:p>
    <w:p w:rsidR="008C06D6" w:rsidRPr="008C06D6" w:rsidRDefault="008C06D6" w:rsidP="008C06D6">
      <w:pPr>
        <w:pStyle w:val="ListParagraph"/>
        <w:ind w:left="792"/>
        <w:rPr>
          <w:b/>
          <w:bCs/>
        </w:rPr>
      </w:pPr>
    </w:p>
    <w:p w:rsidR="004F50F2" w:rsidRPr="0074631B" w:rsidRDefault="00226F1E" w:rsidP="00B96B27">
      <w:pPr>
        <w:pStyle w:val="Heading2"/>
        <w:numPr>
          <w:ilvl w:val="2"/>
          <w:numId w:val="42"/>
        </w:numPr>
        <w:spacing w:before="240" w:after="120"/>
        <w:ind w:left="1080" w:hanging="234"/>
        <w:rPr>
          <w:b w:val="0"/>
          <w:bCs w:val="0"/>
          <w:color w:val="auto"/>
        </w:rPr>
      </w:pPr>
      <w:bookmarkStart w:id="16" w:name="_Toc440869359"/>
      <w:r w:rsidRPr="0074631B">
        <w:rPr>
          <w:b w:val="0"/>
          <w:bCs w:val="0"/>
          <w:color w:val="auto"/>
        </w:rPr>
        <w:lastRenderedPageBreak/>
        <w:t>G</w:t>
      </w:r>
      <w:r w:rsidR="00E6448E" w:rsidRPr="0074631B">
        <w:rPr>
          <w:b w:val="0"/>
          <w:bCs w:val="0"/>
          <w:color w:val="auto"/>
        </w:rPr>
        <w:t xml:space="preserve">raph in </w:t>
      </w:r>
      <w:r w:rsidR="007E01B1" w:rsidRPr="0074631B">
        <w:rPr>
          <w:b w:val="0"/>
          <w:bCs w:val="0"/>
          <w:color w:val="auto"/>
        </w:rPr>
        <w:t>percentage</w:t>
      </w:r>
      <w:r w:rsidR="00E6448E" w:rsidRPr="0074631B">
        <w:rPr>
          <w:b w:val="0"/>
          <w:bCs w:val="0"/>
          <w:color w:val="auto"/>
        </w:rPr>
        <w:t xml:space="preserve"> for the underlying causes</w:t>
      </w:r>
      <w:r w:rsidR="00605749" w:rsidRPr="0074631B">
        <w:rPr>
          <w:b w:val="0"/>
          <w:bCs w:val="0"/>
          <w:color w:val="auto"/>
        </w:rPr>
        <w:t xml:space="preserve"> - 2015</w:t>
      </w:r>
      <w:r w:rsidR="00E6448E" w:rsidRPr="0074631B">
        <w:rPr>
          <w:b w:val="0"/>
          <w:bCs w:val="0"/>
          <w:color w:val="auto"/>
        </w:rPr>
        <w:t>:</w:t>
      </w:r>
      <w:bookmarkEnd w:id="16"/>
      <w:r w:rsidR="00E6448E" w:rsidRPr="0074631B">
        <w:rPr>
          <w:b w:val="0"/>
          <w:bCs w:val="0"/>
          <w:color w:val="auto"/>
        </w:rPr>
        <w:t xml:space="preserve"> </w:t>
      </w:r>
    </w:p>
    <w:p w:rsidR="004F50F2" w:rsidRPr="008C06D6" w:rsidRDefault="00F44196" w:rsidP="00553CDF">
      <w:pPr>
        <w:rPr>
          <w:b/>
          <w:bCs/>
        </w:rPr>
      </w:pPr>
      <w:r>
        <w:rPr>
          <w:b/>
          <w:bCs/>
          <w:noProof/>
          <w:lang w:val="en-GB" w:eastAsia="en-GB"/>
        </w:rPr>
        <w:pict>
          <v:shape id="_x0000_s1035" type="#_x0000_t202" style="position:absolute;margin-left:-37.45pt;margin-top:-3.45pt;width:450.15pt;height:269.45pt;z-index:251701248" filled="f" stroked="f">
            <v:textbox style="mso-next-textbox:#_x0000_s1035">
              <w:txbxContent>
                <w:p w:rsidR="007F069D" w:rsidRDefault="007F069D" w:rsidP="004371D9">
                  <w:r w:rsidRPr="00812DBB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5486400" cy="3258185"/>
                        <wp:effectExtent l="19050" t="0" r="19050" b="0"/>
                        <wp:docPr id="27" name="Chart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F50F2" w:rsidRPr="008C06D6" w:rsidRDefault="004F50F2" w:rsidP="00553CDF">
      <w:pPr>
        <w:rPr>
          <w:b/>
          <w:bCs/>
        </w:rPr>
      </w:pPr>
    </w:p>
    <w:p w:rsidR="007E6E33" w:rsidRPr="008C06D6" w:rsidRDefault="007E6E33" w:rsidP="007E6E33">
      <w:pPr>
        <w:pStyle w:val="ListParagraph"/>
        <w:ind w:left="360"/>
        <w:rPr>
          <w:b/>
          <w:bCs/>
        </w:rPr>
      </w:pPr>
    </w:p>
    <w:p w:rsidR="004F50F2" w:rsidRPr="008C06D6" w:rsidRDefault="004F50F2" w:rsidP="00553CDF">
      <w:pPr>
        <w:rPr>
          <w:b/>
          <w:bCs/>
        </w:rPr>
      </w:pPr>
    </w:p>
    <w:p w:rsidR="004F50F2" w:rsidRPr="008C06D6" w:rsidRDefault="004F50F2" w:rsidP="00553CDF">
      <w:pPr>
        <w:rPr>
          <w:b/>
          <w:bCs/>
        </w:rPr>
      </w:pPr>
    </w:p>
    <w:p w:rsidR="00A81A51" w:rsidRPr="008C06D6" w:rsidRDefault="00A81A51" w:rsidP="00A81A51">
      <w:pPr>
        <w:pStyle w:val="ListParagraph"/>
        <w:rPr>
          <w:b/>
          <w:bCs/>
        </w:rPr>
      </w:pPr>
    </w:p>
    <w:p w:rsidR="00A40506" w:rsidRPr="008C06D6" w:rsidRDefault="00A40506" w:rsidP="00A81A51">
      <w:pPr>
        <w:pStyle w:val="ListParagraph"/>
        <w:rPr>
          <w:b/>
          <w:bCs/>
        </w:rPr>
      </w:pPr>
    </w:p>
    <w:p w:rsidR="00A40506" w:rsidRPr="008C06D6" w:rsidRDefault="00A40506" w:rsidP="00A81A51">
      <w:pPr>
        <w:pStyle w:val="ListParagraph"/>
        <w:rPr>
          <w:b/>
          <w:bCs/>
        </w:rPr>
      </w:pPr>
    </w:p>
    <w:p w:rsidR="00701B42" w:rsidRPr="008C06D6" w:rsidRDefault="00701B42" w:rsidP="00A81A51">
      <w:pPr>
        <w:pStyle w:val="ListParagraph"/>
        <w:rPr>
          <w:b/>
          <w:bCs/>
        </w:rPr>
      </w:pPr>
    </w:p>
    <w:p w:rsidR="000615B6" w:rsidRDefault="000615B6" w:rsidP="00C74C5C">
      <w:pPr>
        <w:rPr>
          <w:b/>
          <w:bCs/>
        </w:rPr>
      </w:pPr>
    </w:p>
    <w:p w:rsidR="004371D9" w:rsidRDefault="004371D9" w:rsidP="00C74C5C">
      <w:pPr>
        <w:rPr>
          <w:b/>
          <w:bCs/>
        </w:rPr>
      </w:pPr>
    </w:p>
    <w:p w:rsidR="004371D9" w:rsidRPr="008C06D6" w:rsidRDefault="004371D9" w:rsidP="00C74C5C">
      <w:pPr>
        <w:rPr>
          <w:b/>
          <w:bCs/>
        </w:rPr>
      </w:pPr>
    </w:p>
    <w:p w:rsidR="007E6E33" w:rsidRPr="007F069D" w:rsidRDefault="00F44196" w:rsidP="004371D9">
      <w:pPr>
        <w:pStyle w:val="Heading2"/>
        <w:numPr>
          <w:ilvl w:val="1"/>
          <w:numId w:val="42"/>
        </w:numPr>
        <w:spacing w:before="240" w:after="120"/>
        <w:ind w:hanging="70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44196">
        <w:rPr>
          <w:rFonts w:asciiTheme="minorHAnsi" w:eastAsiaTheme="minorHAnsi" w:hAnsiTheme="minorHAnsi" w:cstheme="minorBidi"/>
          <w:color w:val="auto"/>
          <w:sz w:val="22"/>
          <w:szCs w:val="22"/>
        </w:rPr>
        <w:pict>
          <v:shape id="_x0000_s1034" type="#_x0000_t202" style="position:absolute;left:0;text-align:left;margin-left:-25.45pt;margin-top:18.3pt;width:128.55pt;height:164pt;z-index:251700224;mso-position-horizontal-relative:text;mso-position-vertical-relative:text" filled="f" stroked="f">
            <v:textbox style="mso-next-textbox:#_x0000_s1034">
              <w:txbxContent>
                <w:tbl>
                  <w:tblPr>
                    <w:tblW w:w="2091" w:type="dxa"/>
                    <w:tblInd w:w="103" w:type="dxa"/>
                    <w:tblLook w:val="04A0"/>
                  </w:tblPr>
                  <w:tblGrid>
                    <w:gridCol w:w="1651"/>
                    <w:gridCol w:w="440"/>
                  </w:tblGrid>
                  <w:tr w:rsidR="007F069D" w:rsidRPr="00802DE3" w:rsidTr="000C4853">
                    <w:trPr>
                      <w:trHeight w:val="262"/>
                    </w:trPr>
                    <w:tc>
                      <w:tcPr>
                        <w:tcW w:w="1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Pr="00802DE3" w:rsidRDefault="007F069D" w:rsidP="000125CA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802DE3">
                          <w:rPr>
                            <w:rFonts w:ascii="Calibri" w:eastAsia="Times New Roman" w:hAnsi="Calibri" w:cs="Calibri"/>
                            <w:color w:val="000000"/>
                          </w:rPr>
                          <w:t>Hands/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F</w:t>
                        </w:r>
                        <w:r w:rsidRPr="00802DE3">
                          <w:rPr>
                            <w:rFonts w:ascii="Calibri" w:eastAsia="Times New Roman" w:hAnsi="Calibri" w:cs="Calibri"/>
                            <w:color w:val="000000"/>
                          </w:rPr>
                          <w:t>ingers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noWrap/>
                        <w:vAlign w:val="bottom"/>
                        <w:hideMark/>
                      </w:tcPr>
                      <w:p w:rsidR="007F069D" w:rsidRPr="00802DE3" w:rsidRDefault="007F069D" w:rsidP="008A1C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23</w:t>
                        </w:r>
                      </w:p>
                    </w:tc>
                  </w:tr>
                  <w:tr w:rsidR="007F069D" w:rsidRPr="00802DE3" w:rsidTr="000C4853">
                    <w:trPr>
                      <w:trHeight w:val="262"/>
                    </w:trPr>
                    <w:tc>
                      <w:tcPr>
                        <w:tcW w:w="1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Pr="00802DE3" w:rsidRDefault="007F069D" w:rsidP="00802DE3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Wrist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Default="007F069D" w:rsidP="00B03A5D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3</w:t>
                        </w:r>
                      </w:p>
                    </w:tc>
                  </w:tr>
                  <w:tr w:rsidR="007F069D" w:rsidRPr="00802DE3" w:rsidTr="000C4853">
                    <w:trPr>
                      <w:trHeight w:val="262"/>
                    </w:trPr>
                    <w:tc>
                      <w:tcPr>
                        <w:tcW w:w="1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Default="007F069D" w:rsidP="000125CA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D96989">
                          <w:rPr>
                            <w:rFonts w:ascii="Calibri" w:eastAsia="Times New Roman" w:hAnsi="Calibri" w:cs="Calibri"/>
                            <w:color w:val="000000"/>
                          </w:rPr>
                          <w:t>ankle/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F</w:t>
                        </w:r>
                        <w:r w:rsidRPr="00D96989">
                          <w:rPr>
                            <w:rFonts w:ascii="Calibri" w:eastAsia="Times New Roman" w:hAnsi="Calibri" w:cs="Calibri"/>
                            <w:color w:val="000000"/>
                          </w:rPr>
                          <w:t>oot/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T</w:t>
                        </w:r>
                        <w:r w:rsidRPr="00D96989">
                          <w:rPr>
                            <w:rFonts w:ascii="Calibri" w:eastAsia="Times New Roman" w:hAnsi="Calibri" w:cs="Calibri"/>
                            <w:color w:val="000000"/>
                          </w:rPr>
                          <w:t>oe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Default="007F069D" w:rsidP="00B03A5D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2</w:t>
                        </w:r>
                      </w:p>
                    </w:tc>
                  </w:tr>
                  <w:tr w:rsidR="007F069D" w:rsidRPr="00802DE3" w:rsidTr="000C4853">
                    <w:trPr>
                      <w:trHeight w:val="262"/>
                    </w:trPr>
                    <w:tc>
                      <w:tcPr>
                        <w:tcW w:w="1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Pr="00D96989" w:rsidRDefault="007F069D" w:rsidP="000125CA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E</w:t>
                        </w:r>
                        <w:r w:rsidRPr="00C95D92">
                          <w:rPr>
                            <w:rFonts w:ascii="Calibri" w:eastAsia="Times New Roman" w:hAnsi="Calibri" w:cs="Calibri"/>
                            <w:color w:val="000000"/>
                          </w:rPr>
                          <w:t>yes/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F</w:t>
                        </w:r>
                        <w:r w:rsidRPr="00C95D92">
                          <w:rPr>
                            <w:rFonts w:ascii="Calibri" w:eastAsia="Times New Roman" w:hAnsi="Calibri" w:cs="Calibri"/>
                            <w:color w:val="000000"/>
                          </w:rPr>
                          <w:t>ace/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N</w:t>
                        </w:r>
                        <w:r w:rsidRPr="00C95D92">
                          <w:rPr>
                            <w:rFonts w:ascii="Calibri" w:eastAsia="Times New Roman" w:hAnsi="Calibri" w:cs="Calibri"/>
                            <w:color w:val="000000"/>
                          </w:rPr>
                          <w:t>ose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Default="007F069D" w:rsidP="00B03A5D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1</w:t>
                        </w:r>
                      </w:p>
                    </w:tc>
                  </w:tr>
                  <w:tr w:rsidR="007F069D" w:rsidRPr="00802DE3" w:rsidTr="000C4853">
                    <w:trPr>
                      <w:trHeight w:val="262"/>
                    </w:trPr>
                    <w:tc>
                      <w:tcPr>
                        <w:tcW w:w="1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Pr="00D96989" w:rsidRDefault="007F069D" w:rsidP="00C95D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T</w:t>
                        </w:r>
                        <w:r w:rsidRPr="00C95D92">
                          <w:rPr>
                            <w:rFonts w:ascii="Calibri" w:eastAsia="Times New Roman" w:hAnsi="Calibri" w:cs="Calibri"/>
                            <w:color w:val="000000"/>
                          </w:rPr>
                          <w:t>humb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Default="007F069D" w:rsidP="00C95D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4</w:t>
                        </w:r>
                      </w:p>
                    </w:tc>
                  </w:tr>
                  <w:tr w:rsidR="007F069D" w:rsidRPr="00802DE3" w:rsidTr="000C4853">
                    <w:trPr>
                      <w:trHeight w:val="262"/>
                    </w:trPr>
                    <w:tc>
                      <w:tcPr>
                        <w:tcW w:w="1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Pr="00C95D92" w:rsidRDefault="007F069D" w:rsidP="00C95D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Body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Default="007F069D" w:rsidP="00C95D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3</w:t>
                        </w:r>
                      </w:p>
                    </w:tc>
                  </w:tr>
                  <w:tr w:rsidR="007F069D" w:rsidRPr="00802DE3" w:rsidTr="000C4853">
                    <w:trPr>
                      <w:trHeight w:val="262"/>
                    </w:trPr>
                    <w:tc>
                      <w:tcPr>
                        <w:tcW w:w="1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F069D" w:rsidRDefault="007F069D" w:rsidP="00C95D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802DE3"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Knee/Leg 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F069D" w:rsidRDefault="007F069D" w:rsidP="00C95D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842911">
                          <w:rPr>
                            <w:rFonts w:ascii="Calibri" w:eastAsia="Times New Roman" w:hAnsi="Calibri" w:cs="Calibri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7F069D" w:rsidRPr="00802DE3" w:rsidTr="000C4853">
                    <w:trPr>
                      <w:trHeight w:val="262"/>
                    </w:trPr>
                    <w:tc>
                      <w:tcPr>
                        <w:tcW w:w="1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F069D" w:rsidRDefault="007F069D" w:rsidP="00C95D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Pelvis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F069D" w:rsidRDefault="007F069D" w:rsidP="00C95D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1</w:t>
                        </w:r>
                      </w:p>
                    </w:tc>
                  </w:tr>
                  <w:tr w:rsidR="007F069D" w:rsidRPr="00802DE3" w:rsidTr="000C4853">
                    <w:trPr>
                      <w:trHeight w:val="262"/>
                    </w:trPr>
                    <w:tc>
                      <w:tcPr>
                        <w:tcW w:w="1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F069D" w:rsidRDefault="007F069D" w:rsidP="00C95D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H</w:t>
                        </w:r>
                        <w:r w:rsidRPr="00D96989">
                          <w:rPr>
                            <w:rFonts w:ascii="Calibri" w:eastAsia="Times New Roman" w:hAnsi="Calibri" w:cs="Calibri"/>
                            <w:color w:val="000000"/>
                          </w:rPr>
                          <w:t>ead/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N</w:t>
                        </w:r>
                        <w:r w:rsidRPr="00D96989">
                          <w:rPr>
                            <w:rFonts w:ascii="Calibri" w:eastAsia="Times New Roman" w:hAnsi="Calibri" w:cs="Calibri"/>
                            <w:color w:val="000000"/>
                          </w:rPr>
                          <w:t>eck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F069D" w:rsidRDefault="007F069D" w:rsidP="00C95D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2</w:t>
                        </w:r>
                      </w:p>
                    </w:tc>
                  </w:tr>
                  <w:tr w:rsidR="007F069D" w:rsidRPr="00802DE3" w:rsidTr="000C4853">
                    <w:trPr>
                      <w:trHeight w:val="262"/>
                    </w:trPr>
                    <w:tc>
                      <w:tcPr>
                        <w:tcW w:w="1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F069D" w:rsidRDefault="007F069D" w:rsidP="00C95D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J</w:t>
                        </w:r>
                        <w:r w:rsidRPr="00C95D92">
                          <w:rPr>
                            <w:rFonts w:ascii="Calibri" w:eastAsia="Times New Roman" w:hAnsi="Calibri" w:cs="Calibri"/>
                            <w:color w:val="000000"/>
                          </w:rPr>
                          <w:t>aw/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T</w:t>
                        </w:r>
                        <w:r w:rsidRPr="00C95D92">
                          <w:rPr>
                            <w:rFonts w:ascii="Calibri" w:eastAsia="Times New Roman" w:hAnsi="Calibri" w:cs="Calibri"/>
                            <w:color w:val="000000"/>
                          </w:rPr>
                          <w:t>eeth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F069D" w:rsidRDefault="007F069D" w:rsidP="00C95D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1</w:t>
                        </w:r>
                      </w:p>
                    </w:tc>
                  </w:tr>
                  <w:tr w:rsidR="007F069D" w:rsidRPr="00802DE3" w:rsidTr="000C4853">
                    <w:trPr>
                      <w:trHeight w:val="262"/>
                    </w:trPr>
                    <w:tc>
                      <w:tcPr>
                        <w:tcW w:w="1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F069D" w:rsidRDefault="007F069D" w:rsidP="00C95D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Elbow/Arm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F069D" w:rsidRDefault="007F069D" w:rsidP="00C95D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5</w:t>
                        </w:r>
                      </w:p>
                    </w:tc>
                  </w:tr>
                </w:tbl>
                <w:p w:rsidR="007F069D" w:rsidRDefault="007F069D" w:rsidP="007E6E33"/>
                <w:p w:rsidR="007F069D" w:rsidRDefault="007F069D" w:rsidP="007E6E33"/>
              </w:txbxContent>
            </v:textbox>
          </v:shape>
        </w:pict>
      </w:r>
      <w:bookmarkStart w:id="17" w:name="_Toc440869360"/>
      <w:r w:rsidR="007E6E33" w:rsidRPr="007F069D">
        <w:rPr>
          <w:rFonts w:asciiTheme="minorHAnsi" w:hAnsiTheme="minorHAnsi"/>
          <w:color w:val="auto"/>
        </w:rPr>
        <w:t xml:space="preserve">Parts of the </w:t>
      </w:r>
      <w:r w:rsidR="00134642" w:rsidRPr="007F069D">
        <w:rPr>
          <w:rFonts w:asciiTheme="minorHAnsi" w:hAnsiTheme="minorHAnsi"/>
          <w:color w:val="auto"/>
        </w:rPr>
        <w:t>body</w:t>
      </w:r>
      <w:r w:rsidR="007A7146" w:rsidRPr="007F069D">
        <w:rPr>
          <w:rFonts w:asciiTheme="minorHAnsi" w:hAnsiTheme="minorHAnsi"/>
          <w:color w:val="auto"/>
        </w:rPr>
        <w:t xml:space="preserve"> 2015</w:t>
      </w:r>
      <w:r w:rsidRPr="00F44196">
        <w:rPr>
          <w:rFonts w:asciiTheme="minorHAnsi" w:eastAsiaTheme="minorHAnsi" w:hAnsiTheme="minorHAnsi" w:cstheme="minorBidi"/>
          <w:color w:val="auto"/>
          <w:sz w:val="22"/>
          <w:szCs w:val="22"/>
        </w:rPr>
        <w:pict>
          <v:shape id="_x0000_s1033" type="#_x0000_t202" style="position:absolute;left:0;text-align:left;margin-left:159.75pt;margin-top:17.95pt;width:318.75pt;height:274.85pt;z-index:251699200;mso-position-horizontal-relative:text;mso-position-vertical-relative:text" filled="f" stroked="f">
            <v:textbox style="mso-next-textbox:#_x0000_s1033">
              <w:txbxContent>
                <w:p w:rsidR="007F069D" w:rsidRDefault="007F069D" w:rsidP="007E6E33">
                  <w:pPr>
                    <w:jc w:val="center"/>
                  </w:pPr>
                  <w:r w:rsidRPr="008A1CB0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3617487" cy="3347049"/>
                        <wp:effectExtent l="19050" t="0" r="21063" b="5751"/>
                        <wp:docPr id="18" name="Chart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bookmarkEnd w:id="17"/>
    </w:p>
    <w:p w:rsidR="007E6E33" w:rsidRPr="008C06D6" w:rsidRDefault="007E6E33" w:rsidP="00A81A51">
      <w:pPr>
        <w:pStyle w:val="ListParagraph"/>
        <w:rPr>
          <w:b/>
          <w:bCs/>
        </w:rPr>
      </w:pPr>
    </w:p>
    <w:p w:rsidR="007E6E33" w:rsidRPr="008C06D6" w:rsidRDefault="007E6E33" w:rsidP="00A81A51">
      <w:pPr>
        <w:pStyle w:val="ListParagraph"/>
        <w:rPr>
          <w:b/>
          <w:bCs/>
        </w:rPr>
      </w:pPr>
    </w:p>
    <w:p w:rsidR="007E6E33" w:rsidRPr="008C06D6" w:rsidRDefault="007E6E33" w:rsidP="00A81A51">
      <w:pPr>
        <w:pStyle w:val="ListParagraph"/>
        <w:rPr>
          <w:b/>
          <w:bCs/>
        </w:rPr>
      </w:pPr>
    </w:p>
    <w:p w:rsidR="007E6E33" w:rsidRPr="008C06D6" w:rsidRDefault="007E6E33" w:rsidP="00A81A51">
      <w:pPr>
        <w:pStyle w:val="ListParagraph"/>
        <w:rPr>
          <w:b/>
          <w:bCs/>
        </w:rPr>
      </w:pPr>
    </w:p>
    <w:p w:rsidR="007E6E33" w:rsidRPr="008C06D6" w:rsidRDefault="007E6E33" w:rsidP="00A81A51">
      <w:pPr>
        <w:pStyle w:val="ListParagraph"/>
        <w:rPr>
          <w:b/>
          <w:bCs/>
        </w:rPr>
      </w:pPr>
    </w:p>
    <w:p w:rsidR="007E6E33" w:rsidRPr="008C06D6" w:rsidRDefault="007E6E33" w:rsidP="00A81A51">
      <w:pPr>
        <w:pStyle w:val="ListParagraph"/>
        <w:rPr>
          <w:b/>
          <w:bCs/>
        </w:rPr>
      </w:pPr>
    </w:p>
    <w:p w:rsidR="007E6E33" w:rsidRPr="008C06D6" w:rsidRDefault="007E6E33" w:rsidP="00A81A51">
      <w:pPr>
        <w:pStyle w:val="ListParagraph"/>
        <w:rPr>
          <w:b/>
          <w:bCs/>
        </w:rPr>
      </w:pPr>
    </w:p>
    <w:p w:rsidR="007E6E33" w:rsidRPr="008C06D6" w:rsidRDefault="007E6E33" w:rsidP="00A81A51">
      <w:pPr>
        <w:pStyle w:val="ListParagraph"/>
        <w:rPr>
          <w:b/>
          <w:bCs/>
        </w:rPr>
      </w:pPr>
    </w:p>
    <w:p w:rsidR="00842911" w:rsidRPr="008C06D6" w:rsidRDefault="00842911" w:rsidP="00A81A51">
      <w:pPr>
        <w:pStyle w:val="ListParagraph"/>
        <w:rPr>
          <w:b/>
          <w:bCs/>
        </w:rPr>
      </w:pPr>
    </w:p>
    <w:p w:rsidR="00AF5A9C" w:rsidRPr="008C06D6" w:rsidRDefault="00AF5A9C" w:rsidP="00AF5A9C">
      <w:pPr>
        <w:pStyle w:val="Heading2"/>
        <w:spacing w:before="240"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2E1A55" w:rsidRDefault="002E1A55">
      <w:pPr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A04BAF" w:rsidRPr="0074631B" w:rsidRDefault="004A23AA" w:rsidP="000125CA">
      <w:pPr>
        <w:pStyle w:val="Heading2"/>
        <w:numPr>
          <w:ilvl w:val="1"/>
          <w:numId w:val="42"/>
        </w:numPr>
        <w:spacing w:before="240" w:after="120"/>
        <w:ind w:hanging="702"/>
        <w:rPr>
          <w:rFonts w:asciiTheme="minorHAnsi" w:hAnsiTheme="minorHAnsi"/>
          <w:color w:val="auto"/>
        </w:rPr>
      </w:pPr>
      <w:bookmarkStart w:id="18" w:name="_Toc440869361"/>
      <w:r w:rsidRPr="0074631B">
        <w:rPr>
          <w:rFonts w:asciiTheme="minorHAnsi" w:hAnsiTheme="minorHAnsi"/>
          <w:color w:val="auto"/>
        </w:rPr>
        <w:lastRenderedPageBreak/>
        <w:t>Time of incidents</w:t>
      </w:r>
      <w:r w:rsidR="007A7146" w:rsidRPr="0074631B">
        <w:rPr>
          <w:rFonts w:asciiTheme="minorHAnsi" w:hAnsiTheme="minorHAnsi"/>
          <w:color w:val="auto"/>
        </w:rPr>
        <w:t xml:space="preserve"> 2015</w:t>
      </w:r>
      <w:r w:rsidR="006D02F3" w:rsidRPr="0074631B">
        <w:rPr>
          <w:rFonts w:asciiTheme="minorHAnsi" w:hAnsiTheme="minorHAnsi"/>
          <w:color w:val="auto"/>
        </w:rPr>
        <w:t>:</w:t>
      </w:r>
      <w:bookmarkEnd w:id="18"/>
    </w:p>
    <w:p w:rsidR="0051360D" w:rsidRPr="008C06D6" w:rsidRDefault="00F44196" w:rsidP="00D81089">
      <w:r w:rsidRPr="00F44196">
        <w:pict>
          <v:shape id="_x0000_s1030" type="#_x0000_t202" style="position:absolute;margin-left:169.2pt;margin-top:3.3pt;width:301.75pt;height:205.65pt;z-index:251695104" stroked="f">
            <v:textbox style="mso-next-textbox:#_x0000_s1030">
              <w:txbxContent>
                <w:p w:rsidR="007F069D" w:rsidRDefault="007F069D">
                  <w:r w:rsidRPr="000615B6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3574940" cy="2441050"/>
                        <wp:effectExtent l="19050" t="0" r="25510" b="0"/>
                        <wp:docPr id="8" name="Chart 5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44196">
        <w:rPr>
          <w:noProof/>
        </w:rPr>
        <w:pict>
          <v:shape id="_x0000_s1027" type="#_x0000_t202" style="position:absolute;margin-left:-1.45pt;margin-top:10.35pt;width:132.85pt;height:105.75pt;z-index:251688960" filled="f" stroked="f">
            <v:textbox style="mso-next-textbox:#_x0000_s1027">
              <w:txbxContent>
                <w:tbl>
                  <w:tblPr>
                    <w:tblW w:w="2380" w:type="dxa"/>
                    <w:tblInd w:w="103" w:type="dxa"/>
                    <w:tblLook w:val="04A0"/>
                  </w:tblPr>
                  <w:tblGrid>
                    <w:gridCol w:w="1420"/>
                    <w:gridCol w:w="960"/>
                  </w:tblGrid>
                  <w:tr w:rsidR="007F069D" w:rsidRPr="000B1361" w:rsidTr="000B1361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Pr="000B1361" w:rsidRDefault="007F069D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0B1361">
                          <w:rPr>
                            <w:rFonts w:ascii="Calibri" w:eastAsia="Times New Roman" w:hAnsi="Calibri" w:cs="Calibri"/>
                            <w:color w:val="000000"/>
                          </w:rPr>
                          <w:t>00:00-04:00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Pr="000B1361" w:rsidRDefault="007F069D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3</w:t>
                        </w:r>
                      </w:p>
                    </w:tc>
                  </w:tr>
                  <w:tr w:rsidR="007F069D" w:rsidRPr="000B1361" w:rsidTr="00F630C9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Pr="000B1361" w:rsidRDefault="007F069D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0B1361">
                          <w:rPr>
                            <w:rFonts w:ascii="Calibri" w:eastAsia="Times New Roman" w:hAnsi="Calibri" w:cs="Calibri"/>
                            <w:color w:val="000000"/>
                          </w:rPr>
                          <w:t>04:00 -08:00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Pr="000B1361" w:rsidRDefault="007F069D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4</w:t>
                        </w:r>
                      </w:p>
                    </w:tc>
                  </w:tr>
                  <w:tr w:rsidR="007F069D" w:rsidRPr="000B1361" w:rsidTr="00605749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noWrap/>
                        <w:vAlign w:val="bottom"/>
                        <w:hideMark/>
                      </w:tcPr>
                      <w:p w:rsidR="007F069D" w:rsidRPr="000B1361" w:rsidRDefault="007F069D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0B1361">
                          <w:rPr>
                            <w:rFonts w:ascii="Calibri" w:eastAsia="Times New Roman" w:hAnsi="Calibri" w:cs="Calibri"/>
                            <w:color w:val="000000"/>
                          </w:rPr>
                          <w:t>08:00 -12:00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noWrap/>
                        <w:vAlign w:val="bottom"/>
                        <w:hideMark/>
                      </w:tcPr>
                      <w:p w:rsidR="007F069D" w:rsidRPr="000B1361" w:rsidRDefault="007F069D" w:rsidP="00AF46C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22</w:t>
                        </w:r>
                      </w:p>
                    </w:tc>
                  </w:tr>
                  <w:tr w:rsidR="007F069D" w:rsidRPr="000B1361" w:rsidTr="00605749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bottom"/>
                        <w:hideMark/>
                      </w:tcPr>
                      <w:p w:rsidR="007F069D" w:rsidRPr="000B1361" w:rsidRDefault="007F069D" w:rsidP="00CE1A7D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0B1361"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12:00 - 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16</w:t>
                        </w:r>
                        <w:r w:rsidRPr="000B1361">
                          <w:rPr>
                            <w:rFonts w:ascii="Calibri" w:eastAsia="Times New Roman" w:hAnsi="Calibri" w:cs="Calibri"/>
                            <w:color w:val="000000"/>
                          </w:rPr>
                          <w:t>:00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bottom"/>
                        <w:hideMark/>
                      </w:tcPr>
                      <w:p w:rsidR="007F069D" w:rsidRPr="000B1361" w:rsidRDefault="007F069D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8</w:t>
                        </w:r>
                      </w:p>
                    </w:tc>
                  </w:tr>
                  <w:tr w:rsidR="007F069D" w:rsidRPr="000B1361" w:rsidTr="00CF7FC3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Pr="000B1361" w:rsidRDefault="007F069D" w:rsidP="00CE1A7D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16:00 </w:t>
                        </w:r>
                        <w:r w:rsidRPr="000B1361">
                          <w:rPr>
                            <w:rFonts w:ascii="Calibri" w:eastAsia="Times New Roman" w:hAnsi="Calibri" w:cs="Calibri"/>
                            <w:color w:val="000000"/>
                          </w:rPr>
                          <w:t>-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 20:00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Pr="000B1361" w:rsidRDefault="007F069D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8</w:t>
                        </w:r>
                      </w:p>
                    </w:tc>
                  </w:tr>
                  <w:tr w:rsidR="007F069D" w:rsidRPr="000B1361" w:rsidTr="000B1361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Pr="000B1361" w:rsidRDefault="007F069D" w:rsidP="00CE1A7D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20</w:t>
                        </w:r>
                        <w:r w:rsidRPr="000B1361">
                          <w:rPr>
                            <w:rFonts w:ascii="Calibri" w:eastAsia="Times New Roman" w:hAnsi="Calibri" w:cs="Calibri"/>
                            <w:color w:val="000000"/>
                          </w:rPr>
                          <w:t>:00 -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 00</w:t>
                        </w:r>
                        <w:r w:rsidRPr="000B1361">
                          <w:rPr>
                            <w:rFonts w:ascii="Calibri" w:eastAsia="Times New Roman" w:hAnsi="Calibri" w:cs="Calibri"/>
                            <w:color w:val="000000"/>
                          </w:rPr>
                          <w:t>:00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F069D" w:rsidRPr="000B1361" w:rsidRDefault="007F069D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6</w:t>
                        </w:r>
                      </w:p>
                    </w:tc>
                  </w:tr>
                </w:tbl>
                <w:p w:rsidR="007F069D" w:rsidRDefault="007F069D" w:rsidP="00B93134">
                  <w:pPr>
                    <w:spacing w:line="240" w:lineRule="auto"/>
                    <w:jc w:val="both"/>
                  </w:pPr>
                  <w:r>
                    <w:t xml:space="preserve"> </w:t>
                  </w:r>
                </w:p>
                <w:p w:rsidR="007F069D" w:rsidRDefault="007F069D"/>
              </w:txbxContent>
            </v:textbox>
          </v:shape>
        </w:pict>
      </w:r>
    </w:p>
    <w:p w:rsidR="000B1361" w:rsidRPr="008C06D6" w:rsidRDefault="000B1361" w:rsidP="00D81089"/>
    <w:p w:rsidR="000B1361" w:rsidRPr="008C06D6" w:rsidRDefault="000B1361" w:rsidP="00D81089"/>
    <w:p w:rsidR="000B1361" w:rsidRPr="008C06D6" w:rsidRDefault="000B1361" w:rsidP="00D81089">
      <w:r w:rsidRPr="008C06D6">
        <w:t xml:space="preserve">  </w:t>
      </w:r>
    </w:p>
    <w:p w:rsidR="000B1361" w:rsidRPr="008C06D6" w:rsidRDefault="000B1361" w:rsidP="00D81089"/>
    <w:p w:rsidR="00D370AE" w:rsidRPr="008C06D6" w:rsidRDefault="00D370AE" w:rsidP="00D81089"/>
    <w:p w:rsidR="00960078" w:rsidRPr="008C06D6" w:rsidRDefault="00960078" w:rsidP="00BF4BC2"/>
    <w:p w:rsidR="002E1A55" w:rsidRDefault="002E1A55" w:rsidP="002E1A55">
      <w:pPr>
        <w:pStyle w:val="Heading2"/>
        <w:spacing w:before="240" w:after="120"/>
        <w:ind w:left="1332"/>
        <w:rPr>
          <w:rFonts w:asciiTheme="minorHAnsi" w:hAnsiTheme="minorHAnsi"/>
        </w:rPr>
      </w:pPr>
    </w:p>
    <w:p w:rsidR="004A23AA" w:rsidRPr="0074631B" w:rsidRDefault="00F44196" w:rsidP="000125CA">
      <w:pPr>
        <w:pStyle w:val="Heading2"/>
        <w:numPr>
          <w:ilvl w:val="1"/>
          <w:numId w:val="42"/>
        </w:numPr>
        <w:spacing w:before="240" w:after="120"/>
        <w:ind w:hanging="702"/>
        <w:rPr>
          <w:rFonts w:asciiTheme="minorHAnsi" w:hAnsiTheme="minorHAnsi"/>
          <w:color w:val="auto"/>
        </w:rPr>
      </w:pPr>
      <w:r w:rsidRPr="00F44196">
        <w:rPr>
          <w:rFonts w:asciiTheme="minorHAnsi" w:hAnsiTheme="minorHAnsi"/>
          <w:color w:val="auto"/>
        </w:rPr>
        <w:pict>
          <v:shape id="_x0000_s1026" type="#_x0000_t202" style="position:absolute;left:0;text-align:left;margin-left:172.95pt;margin-top:25.35pt;width:305.7pt;height:185.9pt;z-index:251687936" stroked="f">
            <v:textbox style="mso-next-textbox:#_x0000_s1026">
              <w:txbxContent>
                <w:p w:rsidR="007F069D" w:rsidRDefault="007F069D">
                  <w:r w:rsidRPr="000615B6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3492279" cy="2234316"/>
                        <wp:effectExtent l="19050" t="0" r="12921" b="0"/>
                        <wp:docPr id="10" name="Chart 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bookmarkStart w:id="19" w:name="_Toc440869362"/>
      <w:r w:rsidR="004A23AA" w:rsidRPr="0074631B">
        <w:rPr>
          <w:rFonts w:asciiTheme="minorHAnsi" w:hAnsiTheme="minorHAnsi"/>
          <w:color w:val="auto"/>
        </w:rPr>
        <w:t>Age of IP</w:t>
      </w:r>
      <w:r w:rsidR="006D02F3" w:rsidRPr="0074631B">
        <w:rPr>
          <w:rFonts w:asciiTheme="minorHAnsi" w:hAnsiTheme="minorHAnsi"/>
          <w:color w:val="auto"/>
        </w:rPr>
        <w:t>:</w:t>
      </w:r>
      <w:bookmarkEnd w:id="19"/>
    </w:p>
    <w:p w:rsidR="00D96A3A" w:rsidRPr="008C06D6" w:rsidRDefault="00F44196" w:rsidP="00DC38CC">
      <w:pPr>
        <w:rPr>
          <w:b/>
          <w:bCs/>
          <w:sz w:val="24"/>
          <w:szCs w:val="24"/>
        </w:rPr>
      </w:pPr>
      <w:r w:rsidRPr="00F44196">
        <w:rPr>
          <w:b/>
          <w:bCs/>
          <w:noProof/>
          <w:sz w:val="24"/>
          <w:szCs w:val="24"/>
        </w:rPr>
        <w:pict>
          <v:shape id="_x0000_s1028" type="#_x0000_t202" style="position:absolute;margin-left:11.1pt;margin-top:3.25pt;width:133.05pt;height:124.95pt;z-index:251689984" filled="f" stroked="f">
            <v:textbox style="mso-next-textbox:#_x0000_s1028">
              <w:txbxContent>
                <w:tbl>
                  <w:tblPr>
                    <w:tblW w:w="2380" w:type="dxa"/>
                    <w:tblInd w:w="103" w:type="dxa"/>
                    <w:tblLook w:val="04A0"/>
                  </w:tblPr>
                  <w:tblGrid>
                    <w:gridCol w:w="1420"/>
                    <w:gridCol w:w="960"/>
                  </w:tblGrid>
                  <w:tr w:rsidR="007F069D" w:rsidRPr="002637A8" w:rsidTr="00605749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7F069D" w:rsidRPr="002637A8" w:rsidRDefault="007F069D" w:rsidP="00C11DEF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2637A8">
                          <w:rPr>
                            <w:rFonts w:ascii="Calibri" w:eastAsia="Times New Roman" w:hAnsi="Calibri" w:cs="Calibri"/>
                            <w:color w:val="000000"/>
                          </w:rPr>
                          <w:t>2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0</w:t>
                        </w:r>
                        <w:r w:rsidRPr="002637A8">
                          <w:rPr>
                            <w:rFonts w:ascii="Calibri" w:eastAsia="Times New Roman" w:hAnsi="Calibri" w:cs="Calibri"/>
                            <w:color w:val="000000"/>
                          </w:rPr>
                          <w:t>-25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7F069D" w:rsidRPr="00A40506" w:rsidRDefault="007F069D" w:rsidP="00BF4B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7</w:t>
                        </w:r>
                      </w:p>
                    </w:tc>
                  </w:tr>
                  <w:tr w:rsidR="007F069D" w:rsidRPr="002637A8" w:rsidTr="00605749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hideMark/>
                      </w:tcPr>
                      <w:p w:rsidR="007F069D" w:rsidRPr="002637A8" w:rsidRDefault="007F069D" w:rsidP="002637A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2637A8">
                          <w:rPr>
                            <w:rFonts w:ascii="Calibri" w:eastAsia="Times New Roman" w:hAnsi="Calibri" w:cs="Calibri"/>
                            <w:color w:val="000000"/>
                          </w:rPr>
                          <w:t>26-30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hideMark/>
                      </w:tcPr>
                      <w:p w:rsidR="007F069D" w:rsidRPr="00A40506" w:rsidRDefault="007F069D" w:rsidP="00AE0D7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13</w:t>
                        </w:r>
                      </w:p>
                    </w:tc>
                  </w:tr>
                  <w:tr w:rsidR="007F069D" w:rsidRPr="002637A8" w:rsidTr="007C23C0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noWrap/>
                        <w:hideMark/>
                      </w:tcPr>
                      <w:p w:rsidR="007F069D" w:rsidRPr="002637A8" w:rsidRDefault="007F069D" w:rsidP="002637A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31</w:t>
                        </w:r>
                        <w:r w:rsidRPr="002637A8">
                          <w:rPr>
                            <w:rFonts w:ascii="Calibri" w:eastAsia="Times New Roman" w:hAnsi="Calibri" w:cs="Calibri"/>
                            <w:color w:val="000000"/>
                          </w:rPr>
                          <w:t>-35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noWrap/>
                        <w:hideMark/>
                      </w:tcPr>
                      <w:p w:rsidR="007F069D" w:rsidRPr="00A40506" w:rsidRDefault="007F069D" w:rsidP="007340B3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15</w:t>
                        </w:r>
                      </w:p>
                    </w:tc>
                  </w:tr>
                  <w:tr w:rsidR="007F069D" w:rsidRPr="002637A8" w:rsidTr="00D96A3A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7F069D" w:rsidRPr="002637A8" w:rsidRDefault="007F069D" w:rsidP="002637A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36-40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7F069D" w:rsidRPr="00A40506" w:rsidRDefault="007F069D" w:rsidP="002637A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7F069D" w:rsidRPr="002637A8" w:rsidTr="00D96A3A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7F069D" w:rsidRPr="002637A8" w:rsidRDefault="007F069D" w:rsidP="002637A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41</w:t>
                        </w:r>
                        <w:r w:rsidRPr="002637A8">
                          <w:rPr>
                            <w:rFonts w:ascii="Calibri" w:eastAsia="Times New Roman" w:hAnsi="Calibri" w:cs="Calibri"/>
                            <w:color w:val="000000"/>
                          </w:rPr>
                          <w:t>-45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7F069D" w:rsidRPr="00A40506" w:rsidRDefault="007F069D" w:rsidP="002637A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7F069D" w:rsidRPr="002637A8" w:rsidTr="002F1E43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7F069D" w:rsidRPr="002637A8" w:rsidRDefault="007F069D" w:rsidP="00C563B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2637A8">
                          <w:rPr>
                            <w:rFonts w:ascii="Calibri" w:eastAsia="Times New Roman" w:hAnsi="Calibri" w:cs="Calibri"/>
                            <w:color w:val="000000"/>
                          </w:rPr>
                          <w:t>4</w:t>
                        </w:r>
                        <w:r>
                          <w:rPr>
                            <w:rFonts w:ascii="Calibri" w:eastAsia="Times New Roman" w:hAnsi="Calibri" w:cs="Calibri" w:hint="cs"/>
                            <w:color w:val="000000"/>
                            <w:rtl/>
                          </w:rPr>
                          <w:t>6</w:t>
                        </w:r>
                        <w:r w:rsidRPr="002637A8">
                          <w:rPr>
                            <w:rFonts w:ascii="Calibri" w:eastAsia="Times New Roman" w:hAnsi="Calibri" w:cs="Calibri"/>
                            <w:color w:val="000000"/>
                          </w:rPr>
                          <w:t>-50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7F069D" w:rsidRPr="00A40506" w:rsidRDefault="007F069D" w:rsidP="002637A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A40506">
                          <w:rPr>
                            <w:rFonts w:ascii="Calibri" w:eastAsia="Times New Roman" w:hAnsi="Calibri" w:cs="Calibri"/>
                            <w:color w:val="000000"/>
                          </w:rPr>
                          <w:t>1</w:t>
                        </w:r>
                      </w:p>
                    </w:tc>
                  </w:tr>
                  <w:tr w:rsidR="007F069D" w:rsidRPr="002637A8" w:rsidTr="002F1E43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7F069D" w:rsidRPr="002637A8" w:rsidRDefault="007F069D" w:rsidP="00C563B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2637A8">
                          <w:rPr>
                            <w:rFonts w:ascii="Calibri" w:eastAsia="Times New Roman" w:hAnsi="Calibri" w:cs="Calibri"/>
                            <w:color w:val="000000"/>
                          </w:rPr>
                          <w:t>5</w:t>
                        </w:r>
                        <w:r>
                          <w:rPr>
                            <w:rFonts w:ascii="Calibri" w:eastAsia="Times New Roman" w:hAnsi="Calibri" w:cs="Calibri" w:hint="cs"/>
                            <w:color w:val="000000"/>
                            <w:rtl/>
                          </w:rPr>
                          <w:t>1</w:t>
                        </w:r>
                        <w:r w:rsidRPr="002637A8">
                          <w:rPr>
                            <w:rFonts w:ascii="Calibri" w:eastAsia="Times New Roman" w:hAnsi="Calibri" w:cs="Calibri"/>
                            <w:color w:val="000000"/>
                          </w:rPr>
                          <w:t>-60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7F069D" w:rsidRPr="00A40506" w:rsidRDefault="007F069D" w:rsidP="002637A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A40506">
                          <w:rPr>
                            <w:rFonts w:ascii="Calibri" w:eastAsia="Times New Roman" w:hAnsi="Calibri" w:cs="Calibri"/>
                            <w:color w:val="000000"/>
                          </w:rPr>
                          <w:t>3</w:t>
                        </w:r>
                      </w:p>
                    </w:tc>
                  </w:tr>
                </w:tbl>
                <w:p w:rsidR="007F069D" w:rsidRDefault="007F069D" w:rsidP="00D96A3A">
                  <w:pPr>
                    <w:spacing w:line="240" w:lineRule="auto"/>
                    <w:jc w:val="both"/>
                  </w:pPr>
                </w:p>
                <w:p w:rsidR="007F069D" w:rsidRDefault="007F069D" w:rsidP="00D96A3A">
                  <w:pPr>
                    <w:spacing w:line="240" w:lineRule="auto"/>
                    <w:jc w:val="both"/>
                  </w:pPr>
                </w:p>
                <w:p w:rsidR="007F069D" w:rsidRDefault="007F069D" w:rsidP="00D96A3A"/>
              </w:txbxContent>
            </v:textbox>
          </v:shape>
        </w:pict>
      </w:r>
    </w:p>
    <w:p w:rsidR="00D96A3A" w:rsidRPr="008C06D6" w:rsidRDefault="00D96A3A">
      <w:pPr>
        <w:rPr>
          <w:b/>
          <w:bCs/>
          <w:sz w:val="24"/>
          <w:szCs w:val="24"/>
        </w:rPr>
      </w:pPr>
    </w:p>
    <w:p w:rsidR="00D96A3A" w:rsidRPr="008C06D6" w:rsidRDefault="00D96A3A">
      <w:pPr>
        <w:rPr>
          <w:b/>
          <w:bCs/>
          <w:sz w:val="24"/>
          <w:szCs w:val="24"/>
        </w:rPr>
      </w:pPr>
    </w:p>
    <w:p w:rsidR="00D96A3A" w:rsidRPr="008C06D6" w:rsidRDefault="00D96A3A">
      <w:pPr>
        <w:rPr>
          <w:b/>
          <w:bCs/>
          <w:sz w:val="24"/>
          <w:szCs w:val="24"/>
        </w:rPr>
      </w:pPr>
    </w:p>
    <w:p w:rsidR="000125CA" w:rsidRPr="008C06D6" w:rsidRDefault="000125CA" w:rsidP="000125CA">
      <w:pPr>
        <w:pStyle w:val="Heading2"/>
        <w:spacing w:before="240" w:after="120"/>
        <w:ind w:left="1332"/>
        <w:rPr>
          <w:rFonts w:asciiTheme="minorHAnsi" w:hAnsiTheme="minorHAnsi"/>
        </w:rPr>
      </w:pPr>
    </w:p>
    <w:p w:rsidR="000125CA" w:rsidRPr="008C06D6" w:rsidRDefault="000125CA" w:rsidP="000125CA">
      <w:pPr>
        <w:pStyle w:val="Heading2"/>
        <w:spacing w:before="240" w:after="120"/>
        <w:ind w:left="1332"/>
        <w:rPr>
          <w:rFonts w:asciiTheme="minorHAnsi" w:hAnsiTheme="minorHAnsi"/>
        </w:rPr>
      </w:pPr>
    </w:p>
    <w:p w:rsidR="000125CA" w:rsidRPr="008C06D6" w:rsidRDefault="000125CA" w:rsidP="000125CA">
      <w:pPr>
        <w:pStyle w:val="Heading2"/>
        <w:spacing w:before="240" w:after="120"/>
        <w:ind w:left="1332"/>
        <w:rPr>
          <w:rFonts w:asciiTheme="minorHAnsi" w:hAnsiTheme="minorHAnsi"/>
        </w:rPr>
      </w:pPr>
    </w:p>
    <w:p w:rsidR="002E1A55" w:rsidRDefault="002E1A55">
      <w:pPr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612987" w:rsidRPr="0074631B" w:rsidRDefault="00E601E9" w:rsidP="000125CA">
      <w:pPr>
        <w:pStyle w:val="Heading2"/>
        <w:numPr>
          <w:ilvl w:val="1"/>
          <w:numId w:val="42"/>
        </w:numPr>
        <w:spacing w:before="240" w:after="120"/>
        <w:ind w:hanging="702"/>
        <w:rPr>
          <w:rFonts w:asciiTheme="minorHAnsi" w:hAnsiTheme="minorHAnsi"/>
          <w:color w:val="auto"/>
        </w:rPr>
      </w:pPr>
      <w:bookmarkStart w:id="20" w:name="_Toc440869363"/>
      <w:r w:rsidRPr="0074631B">
        <w:rPr>
          <w:rFonts w:asciiTheme="minorHAnsi" w:hAnsiTheme="minorHAnsi"/>
          <w:color w:val="auto"/>
        </w:rPr>
        <w:lastRenderedPageBreak/>
        <w:t xml:space="preserve">General </w:t>
      </w:r>
      <w:r w:rsidR="00612987" w:rsidRPr="0074631B">
        <w:rPr>
          <w:rFonts w:asciiTheme="minorHAnsi" w:hAnsiTheme="minorHAnsi"/>
          <w:color w:val="auto"/>
        </w:rPr>
        <w:t>Observations</w:t>
      </w:r>
      <w:bookmarkEnd w:id="20"/>
    </w:p>
    <w:tbl>
      <w:tblPr>
        <w:tblStyle w:val="MediumList1-Accent3"/>
        <w:tblW w:w="0" w:type="auto"/>
        <w:tblLook w:val="04A0"/>
      </w:tblPr>
      <w:tblGrid>
        <w:gridCol w:w="8856"/>
      </w:tblGrid>
      <w:tr w:rsidR="00984289" w:rsidRPr="00984289" w:rsidTr="0074631B">
        <w:trPr>
          <w:cnfStyle w:val="100000000000"/>
        </w:trPr>
        <w:tc>
          <w:tcPr>
            <w:cnfStyle w:val="001000000000"/>
            <w:tcW w:w="8856" w:type="dxa"/>
          </w:tcPr>
          <w:p w:rsidR="00984289" w:rsidRPr="00984289" w:rsidRDefault="00984289" w:rsidP="00C17965">
            <w:pPr>
              <w:pStyle w:val="ListParagraph"/>
              <w:numPr>
                <w:ilvl w:val="0"/>
                <w:numId w:val="37"/>
              </w:numPr>
              <w:jc w:val="both"/>
              <w:rPr>
                <w:b w:val="0"/>
                <w:bCs w:val="0"/>
              </w:rPr>
            </w:pPr>
            <w:r w:rsidRPr="00984289">
              <w:rPr>
                <w:b w:val="0"/>
                <w:bCs w:val="0"/>
              </w:rPr>
              <w:t>PDOs LTIF rate reduced</w:t>
            </w:r>
            <w:r w:rsidR="0081017A">
              <w:rPr>
                <w:b w:val="0"/>
                <w:bCs w:val="0"/>
              </w:rPr>
              <w:t xml:space="preserve"> by</w:t>
            </w:r>
            <w:r w:rsidRPr="00984289">
              <w:rPr>
                <w:b w:val="0"/>
                <w:bCs w:val="0"/>
              </w:rPr>
              <w:t xml:space="preserve"> 12.5% from 2014 with a similar</w:t>
            </w:r>
            <w:r w:rsidR="00C17965">
              <w:rPr>
                <w:b w:val="0"/>
                <w:bCs w:val="0"/>
              </w:rPr>
              <w:t xml:space="preserve"> level of</w:t>
            </w:r>
            <w:r w:rsidR="000415CD">
              <w:rPr>
                <w:b w:val="0"/>
                <w:bCs w:val="0"/>
              </w:rPr>
              <w:t xml:space="preserve"> </w:t>
            </w:r>
            <w:r w:rsidRPr="00984289">
              <w:rPr>
                <w:b w:val="0"/>
                <w:bCs w:val="0"/>
              </w:rPr>
              <w:t>work exposure.</w:t>
            </w:r>
          </w:p>
        </w:tc>
      </w:tr>
      <w:tr w:rsidR="00984289" w:rsidRPr="00984289" w:rsidTr="0074631B">
        <w:trPr>
          <w:cnfStyle w:val="000000100000"/>
        </w:trPr>
        <w:tc>
          <w:tcPr>
            <w:cnfStyle w:val="001000000000"/>
            <w:tcW w:w="8856" w:type="dxa"/>
          </w:tcPr>
          <w:p w:rsidR="00984289" w:rsidRPr="00984289" w:rsidRDefault="00984289" w:rsidP="00AE7FA5">
            <w:pPr>
              <w:pStyle w:val="ListParagraph"/>
              <w:numPr>
                <w:ilvl w:val="0"/>
                <w:numId w:val="36"/>
              </w:numPr>
              <w:jc w:val="both"/>
              <w:rPr>
                <w:b w:val="0"/>
                <w:bCs w:val="0"/>
              </w:rPr>
            </w:pPr>
            <w:r w:rsidRPr="00984289">
              <w:rPr>
                <w:b w:val="0"/>
                <w:bCs w:val="0"/>
              </w:rPr>
              <w:t xml:space="preserve">The UWD directorate comprised 71% (37) of </w:t>
            </w:r>
            <w:r w:rsidR="0081017A">
              <w:rPr>
                <w:b w:val="0"/>
                <w:bCs w:val="0"/>
              </w:rPr>
              <w:t>PDO</w:t>
            </w:r>
            <w:r w:rsidR="0081017A" w:rsidRPr="00984289">
              <w:rPr>
                <w:b w:val="0"/>
                <w:bCs w:val="0"/>
              </w:rPr>
              <w:t xml:space="preserve"> </w:t>
            </w:r>
            <w:r w:rsidRPr="00984289">
              <w:rPr>
                <w:b w:val="0"/>
                <w:bCs w:val="0"/>
              </w:rPr>
              <w:t>LTIs with static figures from 2014 (37).</w:t>
            </w:r>
            <w:r w:rsidR="00C17965">
              <w:rPr>
                <w:b w:val="0"/>
                <w:bCs w:val="0"/>
              </w:rPr>
              <w:t xml:space="preserve"> This percentage rose from 64% in 2014.</w:t>
            </w:r>
            <w:r w:rsidR="00272536">
              <w:rPr>
                <w:b w:val="0"/>
                <w:bCs w:val="0"/>
              </w:rPr>
              <w:t xml:space="preserve"> </w:t>
            </w:r>
          </w:p>
        </w:tc>
      </w:tr>
      <w:tr w:rsidR="00984289" w:rsidRPr="00984289" w:rsidTr="0074631B">
        <w:tc>
          <w:tcPr>
            <w:cnfStyle w:val="001000000000"/>
            <w:tcW w:w="8856" w:type="dxa"/>
          </w:tcPr>
          <w:p w:rsidR="00984289" w:rsidRPr="00984289" w:rsidRDefault="00984289" w:rsidP="0081017A">
            <w:pPr>
              <w:pStyle w:val="ListParagraph"/>
              <w:numPr>
                <w:ilvl w:val="0"/>
                <w:numId w:val="36"/>
              </w:numPr>
              <w:jc w:val="both"/>
              <w:rPr>
                <w:b w:val="0"/>
                <w:bCs w:val="0"/>
              </w:rPr>
            </w:pPr>
            <w:r w:rsidRPr="00984289">
              <w:rPr>
                <w:b w:val="0"/>
                <w:bCs w:val="0"/>
              </w:rPr>
              <w:t xml:space="preserve">The OND and GD directorates commendably reduced their LTI incidents to zero joining UEOD, MD and FD with a zero LTI rate for the year. </w:t>
            </w:r>
          </w:p>
        </w:tc>
      </w:tr>
      <w:tr w:rsidR="00984289" w:rsidRPr="00984289" w:rsidTr="0074631B">
        <w:trPr>
          <w:cnfStyle w:val="000000100000"/>
        </w:trPr>
        <w:tc>
          <w:tcPr>
            <w:cnfStyle w:val="001000000000"/>
            <w:tcW w:w="8856" w:type="dxa"/>
          </w:tcPr>
          <w:p w:rsidR="00984289" w:rsidRPr="00984289" w:rsidRDefault="00984289" w:rsidP="00296BBC">
            <w:pPr>
              <w:pStyle w:val="ListParagraph"/>
              <w:numPr>
                <w:ilvl w:val="0"/>
                <w:numId w:val="36"/>
              </w:numPr>
              <w:jc w:val="both"/>
              <w:rPr>
                <w:b w:val="0"/>
                <w:bCs w:val="0"/>
              </w:rPr>
            </w:pPr>
            <w:r w:rsidRPr="00984289">
              <w:rPr>
                <w:b w:val="0"/>
                <w:bCs w:val="0"/>
              </w:rPr>
              <w:t>The OSD directorate was responsible for the majority of</w:t>
            </w:r>
            <w:r w:rsidR="00296BBC">
              <w:rPr>
                <w:b w:val="0"/>
                <w:bCs w:val="0"/>
              </w:rPr>
              <w:t xml:space="preserve"> </w:t>
            </w:r>
            <w:r w:rsidR="00272536">
              <w:rPr>
                <w:b w:val="0"/>
                <w:bCs w:val="0"/>
              </w:rPr>
              <w:t>PDO</w:t>
            </w:r>
            <w:r w:rsidR="00272536" w:rsidRPr="00984289">
              <w:rPr>
                <w:b w:val="0"/>
                <w:bCs w:val="0"/>
              </w:rPr>
              <w:t xml:space="preserve"> </w:t>
            </w:r>
            <w:r w:rsidRPr="00984289">
              <w:rPr>
                <w:b w:val="0"/>
                <w:bCs w:val="0"/>
              </w:rPr>
              <w:t>LTI reduction (5 of the 7</w:t>
            </w:r>
            <w:r w:rsidR="00296BBC">
              <w:rPr>
                <w:b w:val="0"/>
                <w:bCs w:val="0"/>
              </w:rPr>
              <w:t xml:space="preserve"> less incidents</w:t>
            </w:r>
            <w:r w:rsidRPr="00984289">
              <w:rPr>
                <w:b w:val="0"/>
                <w:bCs w:val="0"/>
              </w:rPr>
              <w:t xml:space="preserve">). </w:t>
            </w:r>
          </w:p>
        </w:tc>
      </w:tr>
      <w:tr w:rsidR="00984289" w:rsidRPr="00984289" w:rsidTr="0074631B">
        <w:tc>
          <w:tcPr>
            <w:cnfStyle w:val="001000000000"/>
            <w:tcW w:w="8856" w:type="dxa"/>
          </w:tcPr>
          <w:p w:rsidR="00984289" w:rsidRPr="00984289" w:rsidRDefault="00984289" w:rsidP="00296BBC">
            <w:pPr>
              <w:pStyle w:val="ListParagraph"/>
              <w:numPr>
                <w:ilvl w:val="0"/>
                <w:numId w:val="36"/>
              </w:numPr>
              <w:jc w:val="both"/>
              <w:rPr>
                <w:b w:val="0"/>
                <w:bCs w:val="0"/>
              </w:rPr>
            </w:pPr>
            <w:r w:rsidRPr="00984289">
              <w:rPr>
                <w:b w:val="0"/>
                <w:bCs w:val="0"/>
              </w:rPr>
              <w:t xml:space="preserve">The UID directorate reduced 11% </w:t>
            </w:r>
            <w:r w:rsidR="00296BBC">
              <w:rPr>
                <w:b w:val="0"/>
                <w:bCs w:val="0"/>
              </w:rPr>
              <w:t xml:space="preserve">compared with 2014 </w:t>
            </w:r>
            <w:r w:rsidRPr="00984289">
              <w:rPr>
                <w:b w:val="0"/>
                <w:bCs w:val="0"/>
              </w:rPr>
              <w:t>but remains the 2</w:t>
            </w:r>
            <w:r w:rsidRPr="00984289">
              <w:rPr>
                <w:b w:val="0"/>
                <w:bCs w:val="0"/>
                <w:vertAlign w:val="superscript"/>
              </w:rPr>
              <w:t>nd</w:t>
            </w:r>
            <w:r w:rsidRPr="00984289">
              <w:rPr>
                <w:b w:val="0"/>
                <w:bCs w:val="0"/>
              </w:rPr>
              <w:t xml:space="preserve"> largest source of LTIs (8).</w:t>
            </w:r>
          </w:p>
        </w:tc>
      </w:tr>
      <w:tr w:rsidR="00984289" w:rsidRPr="00984289" w:rsidTr="0074631B">
        <w:trPr>
          <w:cnfStyle w:val="000000100000"/>
        </w:trPr>
        <w:tc>
          <w:tcPr>
            <w:cnfStyle w:val="001000000000"/>
            <w:tcW w:w="8856" w:type="dxa"/>
          </w:tcPr>
          <w:p w:rsidR="00984289" w:rsidRPr="00984289" w:rsidRDefault="00984289" w:rsidP="0081017A">
            <w:pPr>
              <w:pStyle w:val="ListParagraph"/>
              <w:numPr>
                <w:ilvl w:val="0"/>
                <w:numId w:val="36"/>
              </w:numPr>
              <w:jc w:val="both"/>
              <w:rPr>
                <w:b w:val="0"/>
                <w:bCs w:val="0"/>
              </w:rPr>
            </w:pPr>
            <w:r w:rsidRPr="00984289">
              <w:rPr>
                <w:b w:val="0"/>
                <w:bCs w:val="0"/>
              </w:rPr>
              <w:t xml:space="preserve">The CPDM directorate suffered 2 LTIs after being LTI free in 2014. </w:t>
            </w:r>
          </w:p>
        </w:tc>
      </w:tr>
      <w:tr w:rsidR="00984289" w:rsidRPr="00984289" w:rsidTr="0074631B">
        <w:tc>
          <w:tcPr>
            <w:cnfStyle w:val="001000000000"/>
            <w:tcW w:w="8856" w:type="dxa"/>
          </w:tcPr>
          <w:p w:rsidR="00984289" w:rsidRPr="00984289" w:rsidRDefault="00984289" w:rsidP="007F5198">
            <w:pPr>
              <w:pStyle w:val="ListParagraph"/>
              <w:numPr>
                <w:ilvl w:val="0"/>
                <w:numId w:val="36"/>
              </w:numPr>
              <w:jc w:val="both"/>
              <w:rPr>
                <w:b w:val="0"/>
                <w:bCs w:val="0"/>
              </w:rPr>
            </w:pPr>
            <w:r w:rsidRPr="00984289">
              <w:rPr>
                <w:b w:val="0"/>
                <w:bCs w:val="0"/>
              </w:rPr>
              <w:t xml:space="preserve">Hands </w:t>
            </w:r>
            <w:r w:rsidR="007F5198">
              <w:rPr>
                <w:b w:val="0"/>
                <w:bCs w:val="0"/>
              </w:rPr>
              <w:t>and</w:t>
            </w:r>
            <w:r w:rsidRPr="00984289">
              <w:rPr>
                <w:b w:val="0"/>
                <w:bCs w:val="0"/>
              </w:rPr>
              <w:t xml:space="preserve"> Fingers remain the most prevalent body part to suffer injury, increasing by 7% to 47%. The second most prevalent was legs and knees at 12%.</w:t>
            </w:r>
          </w:p>
        </w:tc>
      </w:tr>
      <w:tr w:rsidR="00984289" w:rsidRPr="00984289" w:rsidTr="0074631B">
        <w:trPr>
          <w:cnfStyle w:val="000000100000"/>
        </w:trPr>
        <w:tc>
          <w:tcPr>
            <w:cnfStyle w:val="001000000000"/>
            <w:tcW w:w="8856" w:type="dxa"/>
          </w:tcPr>
          <w:p w:rsidR="00984289" w:rsidRPr="00984289" w:rsidRDefault="00984289" w:rsidP="0081017A">
            <w:pPr>
              <w:pStyle w:val="ListParagraph"/>
              <w:numPr>
                <w:ilvl w:val="0"/>
                <w:numId w:val="36"/>
              </w:numPr>
              <w:jc w:val="both"/>
              <w:rPr>
                <w:b w:val="0"/>
                <w:bCs w:val="0"/>
              </w:rPr>
            </w:pPr>
            <w:r w:rsidRPr="00984289">
              <w:rPr>
                <w:b w:val="0"/>
                <w:bCs w:val="0"/>
              </w:rPr>
              <w:t>Problems with the guidance or procedures were seen as the most common underlying cause (20%) with the organizational set up (supervision) second (16%).</w:t>
            </w:r>
          </w:p>
        </w:tc>
      </w:tr>
      <w:tr w:rsidR="00984289" w:rsidRPr="00984289" w:rsidTr="0074631B">
        <w:tc>
          <w:tcPr>
            <w:cnfStyle w:val="001000000000"/>
            <w:tcW w:w="8856" w:type="dxa"/>
          </w:tcPr>
          <w:p w:rsidR="00984289" w:rsidRPr="00984289" w:rsidRDefault="00984289" w:rsidP="0081017A">
            <w:pPr>
              <w:pStyle w:val="ListParagraph"/>
              <w:numPr>
                <w:ilvl w:val="0"/>
                <w:numId w:val="36"/>
              </w:numPr>
              <w:jc w:val="both"/>
              <w:rPr>
                <w:b w:val="0"/>
                <w:bCs w:val="0"/>
              </w:rPr>
            </w:pPr>
            <w:r w:rsidRPr="00984289">
              <w:rPr>
                <w:b w:val="0"/>
                <w:bCs w:val="0"/>
              </w:rPr>
              <w:t xml:space="preserve">The most common time of incidents remains between 08:00 and 12:00 (43%) with the rest being fairly evenly split. </w:t>
            </w:r>
          </w:p>
        </w:tc>
      </w:tr>
      <w:tr w:rsidR="00984289" w:rsidRPr="00984289" w:rsidTr="0074631B">
        <w:trPr>
          <w:cnfStyle w:val="000000100000"/>
        </w:trPr>
        <w:tc>
          <w:tcPr>
            <w:cnfStyle w:val="001000000000"/>
            <w:tcW w:w="8856" w:type="dxa"/>
          </w:tcPr>
          <w:p w:rsidR="00984289" w:rsidRPr="00984289" w:rsidRDefault="00984289" w:rsidP="00AE7FA5">
            <w:pPr>
              <w:pStyle w:val="ListParagraph"/>
              <w:numPr>
                <w:ilvl w:val="0"/>
                <w:numId w:val="36"/>
              </w:numPr>
              <w:jc w:val="both"/>
              <w:rPr>
                <w:b w:val="0"/>
                <w:bCs w:val="0"/>
              </w:rPr>
            </w:pPr>
            <w:r w:rsidRPr="00984289">
              <w:rPr>
                <w:b w:val="0"/>
                <w:bCs w:val="0"/>
              </w:rPr>
              <w:t xml:space="preserve">The most common age bracket of </w:t>
            </w:r>
            <w:r w:rsidR="00272536">
              <w:rPr>
                <w:b w:val="0"/>
                <w:bCs w:val="0"/>
              </w:rPr>
              <w:t>PDO</w:t>
            </w:r>
            <w:r w:rsidR="00272536" w:rsidRPr="00984289">
              <w:rPr>
                <w:b w:val="0"/>
                <w:bCs w:val="0"/>
              </w:rPr>
              <w:t xml:space="preserve"> </w:t>
            </w:r>
            <w:r w:rsidRPr="00984289">
              <w:rPr>
                <w:b w:val="0"/>
                <w:bCs w:val="0"/>
              </w:rPr>
              <w:t xml:space="preserve">injured people was the 26-35 year olds (53%), which reflects </w:t>
            </w:r>
            <w:r w:rsidR="00AE7FA5">
              <w:rPr>
                <w:b w:val="0"/>
                <w:bCs w:val="0"/>
              </w:rPr>
              <w:t>PDO</w:t>
            </w:r>
            <w:r w:rsidRPr="00984289">
              <w:rPr>
                <w:b w:val="0"/>
                <w:bCs w:val="0"/>
              </w:rPr>
              <w:t xml:space="preserve"> employment profile.</w:t>
            </w:r>
          </w:p>
        </w:tc>
      </w:tr>
    </w:tbl>
    <w:p w:rsidR="006A5016" w:rsidRPr="008C06D6" w:rsidRDefault="006A5016">
      <w:pP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 w:rsidRPr="008C06D6">
        <w:br w:type="page"/>
      </w:r>
    </w:p>
    <w:p w:rsidR="006A5016" w:rsidRPr="008C06D6" w:rsidRDefault="006A5016" w:rsidP="000125CA">
      <w:pPr>
        <w:pStyle w:val="Heading1"/>
        <w:jc w:val="center"/>
        <w:rPr>
          <w:rFonts w:asciiTheme="minorHAnsi" w:hAnsiTheme="minorHAnsi"/>
        </w:rPr>
      </w:pPr>
    </w:p>
    <w:p w:rsidR="0074631B" w:rsidRDefault="0074631B" w:rsidP="000125CA">
      <w:pPr>
        <w:pStyle w:val="Heading1"/>
        <w:jc w:val="center"/>
        <w:rPr>
          <w:rFonts w:asciiTheme="minorHAnsi" w:hAnsiTheme="minorHAnsi"/>
          <w:color w:val="auto"/>
        </w:rPr>
      </w:pPr>
    </w:p>
    <w:p w:rsidR="0074631B" w:rsidRDefault="0074631B" w:rsidP="000125CA">
      <w:pPr>
        <w:pStyle w:val="Heading1"/>
        <w:jc w:val="center"/>
        <w:rPr>
          <w:rFonts w:asciiTheme="minorHAnsi" w:hAnsiTheme="minorHAnsi"/>
          <w:color w:val="auto"/>
        </w:rPr>
      </w:pPr>
    </w:p>
    <w:p w:rsidR="000210B2" w:rsidRPr="0074631B" w:rsidRDefault="000210B2" w:rsidP="000125CA">
      <w:pPr>
        <w:pStyle w:val="Heading1"/>
        <w:jc w:val="center"/>
        <w:rPr>
          <w:rFonts w:asciiTheme="minorHAnsi" w:hAnsiTheme="minorHAnsi"/>
          <w:color w:val="auto"/>
        </w:rPr>
      </w:pPr>
      <w:bookmarkStart w:id="21" w:name="_Toc440869364"/>
      <w:r w:rsidRPr="0074631B">
        <w:rPr>
          <w:rFonts w:asciiTheme="minorHAnsi" w:hAnsiTheme="minorHAnsi"/>
          <w:color w:val="auto"/>
        </w:rPr>
        <w:t>End of Analysis</w:t>
      </w:r>
      <w:bookmarkEnd w:id="21"/>
    </w:p>
    <w:p w:rsidR="00612987" w:rsidRPr="008C06D6" w:rsidRDefault="00612987" w:rsidP="00612987">
      <w:pPr>
        <w:rPr>
          <w:b/>
          <w:bCs/>
          <w:sz w:val="24"/>
          <w:szCs w:val="24"/>
        </w:rPr>
      </w:pPr>
    </w:p>
    <w:p w:rsidR="00612987" w:rsidRPr="008C06D6" w:rsidRDefault="00612987" w:rsidP="00612987">
      <w:pPr>
        <w:rPr>
          <w:b/>
          <w:bCs/>
          <w:sz w:val="24"/>
          <w:szCs w:val="24"/>
        </w:rPr>
      </w:pPr>
    </w:p>
    <w:sectPr w:rsidR="00612987" w:rsidRPr="008C06D6" w:rsidSect="00317FB3">
      <w:headerReference w:type="default" r:id="rId14"/>
      <w:footerReference w:type="default" r:id="rId15"/>
      <w:pgSz w:w="12240" w:h="15840"/>
      <w:pgMar w:top="1620" w:right="1800" w:bottom="810" w:left="1800" w:header="547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69D" w:rsidRDefault="007F069D" w:rsidP="001C0E04">
      <w:pPr>
        <w:spacing w:after="0" w:line="240" w:lineRule="auto"/>
      </w:pPr>
      <w:r>
        <w:separator/>
      </w:r>
    </w:p>
  </w:endnote>
  <w:endnote w:type="continuationSeparator" w:id="0">
    <w:p w:rsidR="007F069D" w:rsidRDefault="007F069D" w:rsidP="001C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368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F069D" w:rsidRDefault="00F4419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5B1647" w:rsidRPr="005B1647">
            <w:rPr>
              <w:b/>
              <w:noProof/>
            </w:rPr>
            <w:t>3</w:t>
          </w:r>
        </w:fldSimple>
        <w:r w:rsidR="007F069D">
          <w:rPr>
            <w:b/>
          </w:rPr>
          <w:t xml:space="preserve"> | </w:t>
        </w:r>
        <w:r w:rsidR="007F069D">
          <w:rPr>
            <w:color w:val="7F7F7F" w:themeColor="background1" w:themeShade="7F"/>
            <w:spacing w:val="60"/>
          </w:rPr>
          <w:t>Page</w:t>
        </w:r>
        <w:r w:rsidR="007F069D" w:rsidRPr="000210B2">
          <w:rPr>
            <w:noProof/>
            <w:color w:val="7F7F7F" w:themeColor="background1" w:themeShade="7F"/>
            <w:spacing w:val="60"/>
            <w:lang w:val="en-GB" w:eastAsia="en-GB"/>
          </w:rPr>
          <w:drawing>
            <wp:inline distT="0" distB="0" distL="0" distR="0">
              <wp:extent cx="5486400" cy="449836"/>
              <wp:effectExtent l="19050" t="0" r="0" b="0"/>
              <wp:docPr id="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44983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  <w:p w:rsidR="007F069D" w:rsidRDefault="007F06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69D" w:rsidRDefault="007F069D" w:rsidP="001C0E04">
      <w:pPr>
        <w:spacing w:after="0" w:line="240" w:lineRule="auto"/>
      </w:pPr>
      <w:r>
        <w:separator/>
      </w:r>
    </w:p>
  </w:footnote>
  <w:footnote w:type="continuationSeparator" w:id="0">
    <w:p w:rsidR="007F069D" w:rsidRDefault="007F069D" w:rsidP="001C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69D" w:rsidRDefault="007F069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-1138580</wp:posOffset>
          </wp:positionH>
          <wp:positionV relativeFrom="paragraph">
            <wp:posOffset>-340030</wp:posOffset>
          </wp:positionV>
          <wp:extent cx="6959651" cy="1360627"/>
          <wp:effectExtent l="19050" t="0" r="0" b="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51" cy="1360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069D" w:rsidRDefault="007F069D">
    <w:pPr>
      <w:pStyle w:val="Header"/>
    </w:pPr>
  </w:p>
  <w:p w:rsidR="007F069D" w:rsidRDefault="007F069D">
    <w:pPr>
      <w:pStyle w:val="Header"/>
    </w:pPr>
  </w:p>
  <w:p w:rsidR="007F069D" w:rsidRPr="00816857" w:rsidRDefault="007F069D" w:rsidP="00E601E9">
    <w:pPr>
      <w:pStyle w:val="Header"/>
      <w:rPr>
        <w:i/>
        <w:iCs/>
        <w:u w:val="single"/>
      </w:rPr>
    </w:pPr>
    <w:r w:rsidRPr="00816857">
      <w:rPr>
        <w:i/>
        <w:iCs/>
        <w:u w:val="single"/>
      </w:rPr>
      <w:t>2015 LTI Incident Analysis Study</w:t>
    </w:r>
    <w:r w:rsidRPr="00816857">
      <w:rPr>
        <w:i/>
        <w:iCs/>
        <w:noProof/>
        <w:u w:val="single"/>
        <w:lang w:val="en-GB" w:eastAsia="en-GB"/>
      </w:rPr>
      <w:t xml:space="preserve"> – January 2016</w:t>
    </w:r>
  </w:p>
  <w:p w:rsidR="007F069D" w:rsidRDefault="007F069D">
    <w:pPr>
      <w:pStyle w:val="Header"/>
    </w:pPr>
  </w:p>
  <w:p w:rsidR="007F069D" w:rsidRDefault="007F06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2BD"/>
    <w:multiLevelType w:val="hybridMultilevel"/>
    <w:tmpl w:val="94CCFD10"/>
    <w:lvl w:ilvl="0" w:tplc="D658A6B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F4614"/>
    <w:multiLevelType w:val="hybridMultilevel"/>
    <w:tmpl w:val="29A291E6"/>
    <w:lvl w:ilvl="0" w:tplc="B932606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6E792E"/>
    <w:multiLevelType w:val="hybridMultilevel"/>
    <w:tmpl w:val="700A92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240618"/>
    <w:multiLevelType w:val="hybridMultilevel"/>
    <w:tmpl w:val="7D3AB28A"/>
    <w:lvl w:ilvl="0" w:tplc="3A229B8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D471F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4251D"/>
    <w:multiLevelType w:val="hybridMultilevel"/>
    <w:tmpl w:val="B7C0AE4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35C9F"/>
    <w:multiLevelType w:val="hybridMultilevel"/>
    <w:tmpl w:val="E2662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1217B"/>
    <w:multiLevelType w:val="hybridMultilevel"/>
    <w:tmpl w:val="45AAE2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2646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AAC4D75"/>
    <w:multiLevelType w:val="multilevel"/>
    <w:tmpl w:val="2486B18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0A59A2"/>
    <w:multiLevelType w:val="hybridMultilevel"/>
    <w:tmpl w:val="2EBA2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C41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C6966AA"/>
    <w:multiLevelType w:val="hybridMultilevel"/>
    <w:tmpl w:val="7C94A8E4"/>
    <w:lvl w:ilvl="0" w:tplc="E79269A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E9621E"/>
    <w:multiLevelType w:val="hybridMultilevel"/>
    <w:tmpl w:val="CF7EB86A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>
    <w:nsid w:val="345F52AC"/>
    <w:multiLevelType w:val="hybridMultilevel"/>
    <w:tmpl w:val="931C3A96"/>
    <w:lvl w:ilvl="0" w:tplc="1CB80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A3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4E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AC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EA7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C6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A5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9C4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89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5BB7583"/>
    <w:multiLevelType w:val="hybridMultilevel"/>
    <w:tmpl w:val="21CAB1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F2555C"/>
    <w:multiLevelType w:val="hybridMultilevel"/>
    <w:tmpl w:val="2CBA3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84533"/>
    <w:multiLevelType w:val="hybridMultilevel"/>
    <w:tmpl w:val="FE245E2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39CD3209"/>
    <w:multiLevelType w:val="multilevel"/>
    <w:tmpl w:val="BF744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D5A7770"/>
    <w:multiLevelType w:val="hybridMultilevel"/>
    <w:tmpl w:val="476680DC"/>
    <w:lvl w:ilvl="0" w:tplc="006EF4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EF498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B7A14"/>
    <w:multiLevelType w:val="multilevel"/>
    <w:tmpl w:val="DD022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42382ACF"/>
    <w:multiLevelType w:val="multilevel"/>
    <w:tmpl w:val="DF7E610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52723C2"/>
    <w:multiLevelType w:val="hybridMultilevel"/>
    <w:tmpl w:val="9E20CE10"/>
    <w:lvl w:ilvl="0" w:tplc="CA78EE7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B17CB1"/>
    <w:multiLevelType w:val="hybridMultilevel"/>
    <w:tmpl w:val="D47C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3046B6"/>
    <w:multiLevelType w:val="hybridMultilevel"/>
    <w:tmpl w:val="F9CA5086"/>
    <w:lvl w:ilvl="0" w:tplc="BE7E8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CB32181"/>
    <w:multiLevelType w:val="hybridMultilevel"/>
    <w:tmpl w:val="13282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87CB0"/>
    <w:multiLevelType w:val="multilevel"/>
    <w:tmpl w:val="71345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FFB0F01"/>
    <w:multiLevelType w:val="hybridMultilevel"/>
    <w:tmpl w:val="CAAA6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3142D88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80986"/>
    <w:multiLevelType w:val="hybridMultilevel"/>
    <w:tmpl w:val="21CAB1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5A5751E"/>
    <w:multiLevelType w:val="hybridMultilevel"/>
    <w:tmpl w:val="21CAB1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75F123C"/>
    <w:multiLevelType w:val="hybridMultilevel"/>
    <w:tmpl w:val="3622FD4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826081"/>
    <w:multiLevelType w:val="hybridMultilevel"/>
    <w:tmpl w:val="2B56D8AC"/>
    <w:lvl w:ilvl="0" w:tplc="3A229B8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D471F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C48E1322">
      <w:start w:val="1"/>
      <w:numFmt w:val="lowerLetter"/>
      <w:lvlText w:val="%3."/>
      <w:lvlJc w:val="left"/>
      <w:pPr>
        <w:ind w:left="189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F51C1"/>
    <w:multiLevelType w:val="multilevel"/>
    <w:tmpl w:val="2E12DD1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59432E83"/>
    <w:multiLevelType w:val="multilevel"/>
    <w:tmpl w:val="24D680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3">
    <w:nsid w:val="5EA70087"/>
    <w:multiLevelType w:val="hybridMultilevel"/>
    <w:tmpl w:val="5C905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201ED0"/>
    <w:multiLevelType w:val="hybridMultilevel"/>
    <w:tmpl w:val="21CAB1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621555C"/>
    <w:multiLevelType w:val="multilevel"/>
    <w:tmpl w:val="FB9090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36">
    <w:nsid w:val="6ECD7BC6"/>
    <w:multiLevelType w:val="hybridMultilevel"/>
    <w:tmpl w:val="68DC1D9C"/>
    <w:lvl w:ilvl="0" w:tplc="421826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9A0F89"/>
    <w:multiLevelType w:val="hybridMultilevel"/>
    <w:tmpl w:val="06CE8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C06DF7"/>
    <w:multiLevelType w:val="hybridMultilevel"/>
    <w:tmpl w:val="BF8C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D80F14"/>
    <w:multiLevelType w:val="hybridMultilevel"/>
    <w:tmpl w:val="C97889E0"/>
    <w:lvl w:ilvl="0" w:tplc="35FEABBC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B390F94"/>
    <w:multiLevelType w:val="hybridMultilevel"/>
    <w:tmpl w:val="72FC91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73256"/>
    <w:multiLevelType w:val="hybridMultilevel"/>
    <w:tmpl w:val="C54C6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62B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6C84A5BE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D465F"/>
    <w:multiLevelType w:val="hybridMultilevel"/>
    <w:tmpl w:val="C6E49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5"/>
  </w:num>
  <w:num w:numId="4">
    <w:abstractNumId w:val="27"/>
  </w:num>
  <w:num w:numId="5">
    <w:abstractNumId w:val="14"/>
  </w:num>
  <w:num w:numId="6">
    <w:abstractNumId w:val="1"/>
  </w:num>
  <w:num w:numId="7">
    <w:abstractNumId w:val="11"/>
  </w:num>
  <w:num w:numId="8">
    <w:abstractNumId w:val="34"/>
  </w:num>
  <w:num w:numId="9">
    <w:abstractNumId w:val="21"/>
  </w:num>
  <w:num w:numId="10">
    <w:abstractNumId w:val="24"/>
  </w:num>
  <w:num w:numId="11">
    <w:abstractNumId w:val="15"/>
  </w:num>
  <w:num w:numId="12">
    <w:abstractNumId w:val="9"/>
  </w:num>
  <w:num w:numId="13">
    <w:abstractNumId w:val="28"/>
  </w:num>
  <w:num w:numId="14">
    <w:abstractNumId w:val="40"/>
  </w:num>
  <w:num w:numId="15">
    <w:abstractNumId w:val="6"/>
  </w:num>
  <w:num w:numId="16">
    <w:abstractNumId w:val="26"/>
  </w:num>
  <w:num w:numId="17">
    <w:abstractNumId w:val="41"/>
  </w:num>
  <w:num w:numId="18">
    <w:abstractNumId w:val="3"/>
  </w:num>
  <w:num w:numId="19">
    <w:abstractNumId w:val="31"/>
  </w:num>
  <w:num w:numId="20">
    <w:abstractNumId w:val="20"/>
  </w:num>
  <w:num w:numId="21">
    <w:abstractNumId w:val="12"/>
  </w:num>
  <w:num w:numId="22">
    <w:abstractNumId w:val="30"/>
  </w:num>
  <w:num w:numId="23">
    <w:abstractNumId w:val="13"/>
  </w:num>
  <w:num w:numId="24">
    <w:abstractNumId w:val="23"/>
  </w:num>
  <w:num w:numId="25">
    <w:abstractNumId w:val="4"/>
  </w:num>
  <w:num w:numId="26">
    <w:abstractNumId w:val="29"/>
  </w:num>
  <w:num w:numId="27">
    <w:abstractNumId w:val="16"/>
  </w:num>
  <w:num w:numId="28">
    <w:abstractNumId w:val="35"/>
  </w:num>
  <w:num w:numId="29">
    <w:abstractNumId w:val="39"/>
  </w:num>
  <w:num w:numId="30">
    <w:abstractNumId w:val="36"/>
  </w:num>
  <w:num w:numId="31">
    <w:abstractNumId w:val="10"/>
  </w:num>
  <w:num w:numId="32">
    <w:abstractNumId w:val="37"/>
  </w:num>
  <w:num w:numId="33">
    <w:abstractNumId w:val="32"/>
  </w:num>
  <w:num w:numId="34">
    <w:abstractNumId w:val="19"/>
  </w:num>
  <w:num w:numId="35">
    <w:abstractNumId w:val="17"/>
  </w:num>
  <w:num w:numId="36">
    <w:abstractNumId w:val="38"/>
  </w:num>
  <w:num w:numId="37">
    <w:abstractNumId w:val="22"/>
  </w:num>
  <w:num w:numId="38">
    <w:abstractNumId w:val="0"/>
  </w:num>
  <w:num w:numId="39">
    <w:abstractNumId w:val="18"/>
  </w:num>
  <w:num w:numId="40">
    <w:abstractNumId w:val="33"/>
  </w:num>
  <w:num w:numId="41">
    <w:abstractNumId w:val="8"/>
  </w:num>
  <w:num w:numId="42">
    <w:abstractNumId w:val="7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C3E53"/>
    <w:rsid w:val="00003053"/>
    <w:rsid w:val="000040E1"/>
    <w:rsid w:val="00007A2E"/>
    <w:rsid w:val="00011A89"/>
    <w:rsid w:val="000125CA"/>
    <w:rsid w:val="000127A4"/>
    <w:rsid w:val="00013793"/>
    <w:rsid w:val="0001646B"/>
    <w:rsid w:val="00017AE8"/>
    <w:rsid w:val="00020CBD"/>
    <w:rsid w:val="000210B2"/>
    <w:rsid w:val="00023589"/>
    <w:rsid w:val="00023D64"/>
    <w:rsid w:val="00026827"/>
    <w:rsid w:val="000317A9"/>
    <w:rsid w:val="0003431C"/>
    <w:rsid w:val="00035421"/>
    <w:rsid w:val="00037519"/>
    <w:rsid w:val="000415CD"/>
    <w:rsid w:val="0004284F"/>
    <w:rsid w:val="00055ACB"/>
    <w:rsid w:val="0005643A"/>
    <w:rsid w:val="000615B6"/>
    <w:rsid w:val="00061CBC"/>
    <w:rsid w:val="00062DF0"/>
    <w:rsid w:val="00063B2C"/>
    <w:rsid w:val="00076266"/>
    <w:rsid w:val="00077A0F"/>
    <w:rsid w:val="00082C3A"/>
    <w:rsid w:val="000840BC"/>
    <w:rsid w:val="00085775"/>
    <w:rsid w:val="00085D19"/>
    <w:rsid w:val="00086DE3"/>
    <w:rsid w:val="00091567"/>
    <w:rsid w:val="0009691E"/>
    <w:rsid w:val="00096CCC"/>
    <w:rsid w:val="00096D4B"/>
    <w:rsid w:val="000979A4"/>
    <w:rsid w:val="000A3CF2"/>
    <w:rsid w:val="000A56A4"/>
    <w:rsid w:val="000A6E17"/>
    <w:rsid w:val="000B1361"/>
    <w:rsid w:val="000B278F"/>
    <w:rsid w:val="000B34A1"/>
    <w:rsid w:val="000B3DCE"/>
    <w:rsid w:val="000B67B9"/>
    <w:rsid w:val="000B7F77"/>
    <w:rsid w:val="000C16A9"/>
    <w:rsid w:val="000C2A17"/>
    <w:rsid w:val="000C30EE"/>
    <w:rsid w:val="000C3129"/>
    <w:rsid w:val="000C338E"/>
    <w:rsid w:val="000C4853"/>
    <w:rsid w:val="000C67BD"/>
    <w:rsid w:val="000D2E70"/>
    <w:rsid w:val="000D7233"/>
    <w:rsid w:val="000D7241"/>
    <w:rsid w:val="000E0AF7"/>
    <w:rsid w:val="000E1F62"/>
    <w:rsid w:val="000E233E"/>
    <w:rsid w:val="000E36CE"/>
    <w:rsid w:val="000E3C07"/>
    <w:rsid w:val="000E5B6F"/>
    <w:rsid w:val="000E6757"/>
    <w:rsid w:val="000F2720"/>
    <w:rsid w:val="000F2996"/>
    <w:rsid w:val="000F3513"/>
    <w:rsid w:val="000F6517"/>
    <w:rsid w:val="00101EC2"/>
    <w:rsid w:val="0010345D"/>
    <w:rsid w:val="00103567"/>
    <w:rsid w:val="00110934"/>
    <w:rsid w:val="00111208"/>
    <w:rsid w:val="001150C6"/>
    <w:rsid w:val="001224FD"/>
    <w:rsid w:val="00123C9A"/>
    <w:rsid w:val="00127A6E"/>
    <w:rsid w:val="00130E9E"/>
    <w:rsid w:val="00134642"/>
    <w:rsid w:val="001412DD"/>
    <w:rsid w:val="00145A93"/>
    <w:rsid w:val="00146E91"/>
    <w:rsid w:val="00147A4F"/>
    <w:rsid w:val="00154D5F"/>
    <w:rsid w:val="0016247F"/>
    <w:rsid w:val="00163C54"/>
    <w:rsid w:val="00167895"/>
    <w:rsid w:val="00170C0F"/>
    <w:rsid w:val="00173AA2"/>
    <w:rsid w:val="001759D6"/>
    <w:rsid w:val="00177CF5"/>
    <w:rsid w:val="00180B0B"/>
    <w:rsid w:val="0018112E"/>
    <w:rsid w:val="001832FC"/>
    <w:rsid w:val="001836BE"/>
    <w:rsid w:val="001916FF"/>
    <w:rsid w:val="00196039"/>
    <w:rsid w:val="001978CF"/>
    <w:rsid w:val="001A1457"/>
    <w:rsid w:val="001A26FF"/>
    <w:rsid w:val="001A4134"/>
    <w:rsid w:val="001A5C99"/>
    <w:rsid w:val="001A7819"/>
    <w:rsid w:val="001B0634"/>
    <w:rsid w:val="001B39B2"/>
    <w:rsid w:val="001B6132"/>
    <w:rsid w:val="001B64ED"/>
    <w:rsid w:val="001B7ACD"/>
    <w:rsid w:val="001C0E04"/>
    <w:rsid w:val="001C1616"/>
    <w:rsid w:val="001C3CF8"/>
    <w:rsid w:val="001C60F9"/>
    <w:rsid w:val="001C62DF"/>
    <w:rsid w:val="001C6C0D"/>
    <w:rsid w:val="001C6D89"/>
    <w:rsid w:val="001D05A0"/>
    <w:rsid w:val="001D20C4"/>
    <w:rsid w:val="001D2F7D"/>
    <w:rsid w:val="001D3624"/>
    <w:rsid w:val="001D3A5E"/>
    <w:rsid w:val="001D4164"/>
    <w:rsid w:val="001E0BDE"/>
    <w:rsid w:val="001E1096"/>
    <w:rsid w:val="001E2921"/>
    <w:rsid w:val="001E59EE"/>
    <w:rsid w:val="001E6B77"/>
    <w:rsid w:val="001F2945"/>
    <w:rsid w:val="001F40A7"/>
    <w:rsid w:val="001F5A3C"/>
    <w:rsid w:val="001F67DD"/>
    <w:rsid w:val="0020182D"/>
    <w:rsid w:val="00203CFC"/>
    <w:rsid w:val="0020785F"/>
    <w:rsid w:val="00220373"/>
    <w:rsid w:val="00223F58"/>
    <w:rsid w:val="002246E5"/>
    <w:rsid w:val="002257C6"/>
    <w:rsid w:val="002262FD"/>
    <w:rsid w:val="00226F1E"/>
    <w:rsid w:val="00230CEF"/>
    <w:rsid w:val="00230D17"/>
    <w:rsid w:val="00231D93"/>
    <w:rsid w:val="00231E4D"/>
    <w:rsid w:val="002363AD"/>
    <w:rsid w:val="00242E76"/>
    <w:rsid w:val="00245216"/>
    <w:rsid w:val="00245985"/>
    <w:rsid w:val="00247074"/>
    <w:rsid w:val="00250506"/>
    <w:rsid w:val="00251B3C"/>
    <w:rsid w:val="00253E43"/>
    <w:rsid w:val="00255254"/>
    <w:rsid w:val="00255C17"/>
    <w:rsid w:val="00256D85"/>
    <w:rsid w:val="00260017"/>
    <w:rsid w:val="00261EE9"/>
    <w:rsid w:val="002637A8"/>
    <w:rsid w:val="00267F6F"/>
    <w:rsid w:val="00271154"/>
    <w:rsid w:val="00272536"/>
    <w:rsid w:val="0027589F"/>
    <w:rsid w:val="00275ADE"/>
    <w:rsid w:val="00276771"/>
    <w:rsid w:val="00280257"/>
    <w:rsid w:val="00281149"/>
    <w:rsid w:val="00285C33"/>
    <w:rsid w:val="002867D4"/>
    <w:rsid w:val="0029496D"/>
    <w:rsid w:val="00296BBC"/>
    <w:rsid w:val="002B006C"/>
    <w:rsid w:val="002B0F42"/>
    <w:rsid w:val="002B2F15"/>
    <w:rsid w:val="002B3703"/>
    <w:rsid w:val="002B736B"/>
    <w:rsid w:val="002C0243"/>
    <w:rsid w:val="002C153B"/>
    <w:rsid w:val="002C3A67"/>
    <w:rsid w:val="002C66AE"/>
    <w:rsid w:val="002D17C0"/>
    <w:rsid w:val="002D750C"/>
    <w:rsid w:val="002E1A55"/>
    <w:rsid w:val="002E3374"/>
    <w:rsid w:val="002E355D"/>
    <w:rsid w:val="002E43CF"/>
    <w:rsid w:val="002E47ED"/>
    <w:rsid w:val="002E5085"/>
    <w:rsid w:val="002E51AD"/>
    <w:rsid w:val="002F1046"/>
    <w:rsid w:val="002F1ADC"/>
    <w:rsid w:val="002F1E43"/>
    <w:rsid w:val="002F3A4B"/>
    <w:rsid w:val="002F699F"/>
    <w:rsid w:val="00300644"/>
    <w:rsid w:val="0030535D"/>
    <w:rsid w:val="00305B1C"/>
    <w:rsid w:val="00306C26"/>
    <w:rsid w:val="00306CE8"/>
    <w:rsid w:val="003105C9"/>
    <w:rsid w:val="003115B6"/>
    <w:rsid w:val="00312195"/>
    <w:rsid w:val="00317354"/>
    <w:rsid w:val="00317FB3"/>
    <w:rsid w:val="00326C6A"/>
    <w:rsid w:val="00326EDA"/>
    <w:rsid w:val="003275A2"/>
    <w:rsid w:val="00330360"/>
    <w:rsid w:val="00333ACC"/>
    <w:rsid w:val="00335EE4"/>
    <w:rsid w:val="003366E0"/>
    <w:rsid w:val="00336797"/>
    <w:rsid w:val="00336B7C"/>
    <w:rsid w:val="003406EA"/>
    <w:rsid w:val="00341AD4"/>
    <w:rsid w:val="0034444D"/>
    <w:rsid w:val="00351D73"/>
    <w:rsid w:val="003543C6"/>
    <w:rsid w:val="00357080"/>
    <w:rsid w:val="00360FD0"/>
    <w:rsid w:val="003640F3"/>
    <w:rsid w:val="00364473"/>
    <w:rsid w:val="00364DC9"/>
    <w:rsid w:val="0036684A"/>
    <w:rsid w:val="003733D9"/>
    <w:rsid w:val="00373F4B"/>
    <w:rsid w:val="00374B6E"/>
    <w:rsid w:val="00376183"/>
    <w:rsid w:val="00380D82"/>
    <w:rsid w:val="003A1192"/>
    <w:rsid w:val="003A4338"/>
    <w:rsid w:val="003A4A9B"/>
    <w:rsid w:val="003A6FAF"/>
    <w:rsid w:val="003A777F"/>
    <w:rsid w:val="003B04E3"/>
    <w:rsid w:val="003B0D11"/>
    <w:rsid w:val="003B1F78"/>
    <w:rsid w:val="003C56F7"/>
    <w:rsid w:val="003D07F8"/>
    <w:rsid w:val="003D218E"/>
    <w:rsid w:val="003D40D2"/>
    <w:rsid w:val="003D783F"/>
    <w:rsid w:val="003E465E"/>
    <w:rsid w:val="003E4CAA"/>
    <w:rsid w:val="003F0763"/>
    <w:rsid w:val="003F0BAD"/>
    <w:rsid w:val="003F2E90"/>
    <w:rsid w:val="003F6F8A"/>
    <w:rsid w:val="003F7825"/>
    <w:rsid w:val="00401ADE"/>
    <w:rsid w:val="00401B87"/>
    <w:rsid w:val="00401E97"/>
    <w:rsid w:val="004043EF"/>
    <w:rsid w:val="00405239"/>
    <w:rsid w:val="004056CE"/>
    <w:rsid w:val="0040594F"/>
    <w:rsid w:val="00411A4A"/>
    <w:rsid w:val="00413570"/>
    <w:rsid w:val="004216BA"/>
    <w:rsid w:val="00426420"/>
    <w:rsid w:val="004370C0"/>
    <w:rsid w:val="004371D9"/>
    <w:rsid w:val="004375A1"/>
    <w:rsid w:val="00444903"/>
    <w:rsid w:val="00447FD4"/>
    <w:rsid w:val="004601CF"/>
    <w:rsid w:val="0046535B"/>
    <w:rsid w:val="00467920"/>
    <w:rsid w:val="00470FCD"/>
    <w:rsid w:val="0047107F"/>
    <w:rsid w:val="004726EE"/>
    <w:rsid w:val="004734BA"/>
    <w:rsid w:val="0048000A"/>
    <w:rsid w:val="00480526"/>
    <w:rsid w:val="0049329A"/>
    <w:rsid w:val="004949E7"/>
    <w:rsid w:val="004955A4"/>
    <w:rsid w:val="004A1891"/>
    <w:rsid w:val="004A23AA"/>
    <w:rsid w:val="004B4A0B"/>
    <w:rsid w:val="004B7C35"/>
    <w:rsid w:val="004B7E51"/>
    <w:rsid w:val="004C12B9"/>
    <w:rsid w:val="004C46EB"/>
    <w:rsid w:val="004C4AF5"/>
    <w:rsid w:val="004C738E"/>
    <w:rsid w:val="004C7D2D"/>
    <w:rsid w:val="004D7CD3"/>
    <w:rsid w:val="004E14BE"/>
    <w:rsid w:val="004E4E94"/>
    <w:rsid w:val="004F187A"/>
    <w:rsid w:val="004F4B63"/>
    <w:rsid w:val="004F50F2"/>
    <w:rsid w:val="004F5889"/>
    <w:rsid w:val="00503FE3"/>
    <w:rsid w:val="0051360D"/>
    <w:rsid w:val="005138EF"/>
    <w:rsid w:val="00515A85"/>
    <w:rsid w:val="005211F2"/>
    <w:rsid w:val="00521D24"/>
    <w:rsid w:val="00522505"/>
    <w:rsid w:val="005229DE"/>
    <w:rsid w:val="0052360F"/>
    <w:rsid w:val="005361E1"/>
    <w:rsid w:val="00537E0F"/>
    <w:rsid w:val="00546B2A"/>
    <w:rsid w:val="00553CDF"/>
    <w:rsid w:val="00560F65"/>
    <w:rsid w:val="00565097"/>
    <w:rsid w:val="00567205"/>
    <w:rsid w:val="005717E5"/>
    <w:rsid w:val="005735A0"/>
    <w:rsid w:val="00580CBB"/>
    <w:rsid w:val="00580D67"/>
    <w:rsid w:val="00583987"/>
    <w:rsid w:val="00591C9D"/>
    <w:rsid w:val="00595417"/>
    <w:rsid w:val="005A7040"/>
    <w:rsid w:val="005A7C35"/>
    <w:rsid w:val="005B1647"/>
    <w:rsid w:val="005B2B99"/>
    <w:rsid w:val="005B7ED6"/>
    <w:rsid w:val="005C3462"/>
    <w:rsid w:val="005C38BA"/>
    <w:rsid w:val="005C63FA"/>
    <w:rsid w:val="005D0D52"/>
    <w:rsid w:val="005D71DF"/>
    <w:rsid w:val="005E1C2A"/>
    <w:rsid w:val="005E2046"/>
    <w:rsid w:val="005E587D"/>
    <w:rsid w:val="005F0373"/>
    <w:rsid w:val="005F0D0F"/>
    <w:rsid w:val="005F2872"/>
    <w:rsid w:val="005F6B1A"/>
    <w:rsid w:val="005F7EA4"/>
    <w:rsid w:val="0060123A"/>
    <w:rsid w:val="00605749"/>
    <w:rsid w:val="00606D9B"/>
    <w:rsid w:val="00607073"/>
    <w:rsid w:val="006077A9"/>
    <w:rsid w:val="00611562"/>
    <w:rsid w:val="00612987"/>
    <w:rsid w:val="00612E9C"/>
    <w:rsid w:val="006155E2"/>
    <w:rsid w:val="00617EBB"/>
    <w:rsid w:val="006210C4"/>
    <w:rsid w:val="00625B87"/>
    <w:rsid w:val="00634CCA"/>
    <w:rsid w:val="006359A1"/>
    <w:rsid w:val="00640B4A"/>
    <w:rsid w:val="00643CD9"/>
    <w:rsid w:val="00645157"/>
    <w:rsid w:val="0064596A"/>
    <w:rsid w:val="00645AAF"/>
    <w:rsid w:val="006460E5"/>
    <w:rsid w:val="00655727"/>
    <w:rsid w:val="00655FBA"/>
    <w:rsid w:val="00666A32"/>
    <w:rsid w:val="00667E4B"/>
    <w:rsid w:val="00675B41"/>
    <w:rsid w:val="00675E4A"/>
    <w:rsid w:val="0068219A"/>
    <w:rsid w:val="006845B7"/>
    <w:rsid w:val="00684698"/>
    <w:rsid w:val="0068516B"/>
    <w:rsid w:val="0068578A"/>
    <w:rsid w:val="006868BB"/>
    <w:rsid w:val="006871B9"/>
    <w:rsid w:val="0068746F"/>
    <w:rsid w:val="00694D07"/>
    <w:rsid w:val="00697111"/>
    <w:rsid w:val="006A06B2"/>
    <w:rsid w:val="006A07AC"/>
    <w:rsid w:val="006A1210"/>
    <w:rsid w:val="006A27ED"/>
    <w:rsid w:val="006A5016"/>
    <w:rsid w:val="006A5397"/>
    <w:rsid w:val="006B0F31"/>
    <w:rsid w:val="006B152D"/>
    <w:rsid w:val="006B7BB0"/>
    <w:rsid w:val="006C3F3C"/>
    <w:rsid w:val="006C4655"/>
    <w:rsid w:val="006D02F3"/>
    <w:rsid w:val="006D1EC7"/>
    <w:rsid w:val="006D30DB"/>
    <w:rsid w:val="006D3DA2"/>
    <w:rsid w:val="006D46E1"/>
    <w:rsid w:val="006E0033"/>
    <w:rsid w:val="006E4572"/>
    <w:rsid w:val="006F2E2C"/>
    <w:rsid w:val="0070054C"/>
    <w:rsid w:val="00700F54"/>
    <w:rsid w:val="00701B42"/>
    <w:rsid w:val="007108DD"/>
    <w:rsid w:val="00711E80"/>
    <w:rsid w:val="0071295D"/>
    <w:rsid w:val="00715102"/>
    <w:rsid w:val="0072117D"/>
    <w:rsid w:val="0072170E"/>
    <w:rsid w:val="007226DB"/>
    <w:rsid w:val="007226F8"/>
    <w:rsid w:val="0072385F"/>
    <w:rsid w:val="007238D2"/>
    <w:rsid w:val="00725307"/>
    <w:rsid w:val="007268E3"/>
    <w:rsid w:val="00726CA6"/>
    <w:rsid w:val="007275C6"/>
    <w:rsid w:val="0073108B"/>
    <w:rsid w:val="0073310B"/>
    <w:rsid w:val="007340B3"/>
    <w:rsid w:val="007375D5"/>
    <w:rsid w:val="007416E5"/>
    <w:rsid w:val="0074478D"/>
    <w:rsid w:val="0074597C"/>
    <w:rsid w:val="0074631B"/>
    <w:rsid w:val="00746D05"/>
    <w:rsid w:val="00754223"/>
    <w:rsid w:val="007655C6"/>
    <w:rsid w:val="00773A17"/>
    <w:rsid w:val="00774F88"/>
    <w:rsid w:val="007779A0"/>
    <w:rsid w:val="00780192"/>
    <w:rsid w:val="00780B84"/>
    <w:rsid w:val="00781E79"/>
    <w:rsid w:val="00782C17"/>
    <w:rsid w:val="007875E4"/>
    <w:rsid w:val="00790A3D"/>
    <w:rsid w:val="0079424B"/>
    <w:rsid w:val="007A010B"/>
    <w:rsid w:val="007A41AB"/>
    <w:rsid w:val="007A5F49"/>
    <w:rsid w:val="007A611D"/>
    <w:rsid w:val="007A7146"/>
    <w:rsid w:val="007C03C6"/>
    <w:rsid w:val="007C0D4F"/>
    <w:rsid w:val="007C23C0"/>
    <w:rsid w:val="007C748A"/>
    <w:rsid w:val="007D3DE2"/>
    <w:rsid w:val="007D7612"/>
    <w:rsid w:val="007E01B1"/>
    <w:rsid w:val="007E09FC"/>
    <w:rsid w:val="007E24DC"/>
    <w:rsid w:val="007E2BF1"/>
    <w:rsid w:val="007E4D09"/>
    <w:rsid w:val="007E6E33"/>
    <w:rsid w:val="007E7BBD"/>
    <w:rsid w:val="007F069D"/>
    <w:rsid w:val="007F0855"/>
    <w:rsid w:val="007F35F6"/>
    <w:rsid w:val="007F4794"/>
    <w:rsid w:val="007F5198"/>
    <w:rsid w:val="007F739B"/>
    <w:rsid w:val="007F7696"/>
    <w:rsid w:val="00802578"/>
    <w:rsid w:val="00802DE3"/>
    <w:rsid w:val="0080445B"/>
    <w:rsid w:val="00806CF9"/>
    <w:rsid w:val="00806FD1"/>
    <w:rsid w:val="00807B15"/>
    <w:rsid w:val="00807C6A"/>
    <w:rsid w:val="00807CBA"/>
    <w:rsid w:val="0081017A"/>
    <w:rsid w:val="00812DBB"/>
    <w:rsid w:val="00814E4D"/>
    <w:rsid w:val="00815AFB"/>
    <w:rsid w:val="00816857"/>
    <w:rsid w:val="00817C75"/>
    <w:rsid w:val="00820CC6"/>
    <w:rsid w:val="008245D2"/>
    <w:rsid w:val="00842911"/>
    <w:rsid w:val="00842E94"/>
    <w:rsid w:val="00844D48"/>
    <w:rsid w:val="008451DE"/>
    <w:rsid w:val="00845358"/>
    <w:rsid w:val="008476A1"/>
    <w:rsid w:val="00856A91"/>
    <w:rsid w:val="008603F4"/>
    <w:rsid w:val="00860C82"/>
    <w:rsid w:val="008610D0"/>
    <w:rsid w:val="00870B68"/>
    <w:rsid w:val="00875701"/>
    <w:rsid w:val="00877A61"/>
    <w:rsid w:val="0088243F"/>
    <w:rsid w:val="008840A9"/>
    <w:rsid w:val="008858B6"/>
    <w:rsid w:val="008871B6"/>
    <w:rsid w:val="0088747A"/>
    <w:rsid w:val="00891490"/>
    <w:rsid w:val="008914EE"/>
    <w:rsid w:val="008A1CB0"/>
    <w:rsid w:val="008A3512"/>
    <w:rsid w:val="008A5A10"/>
    <w:rsid w:val="008A7D3F"/>
    <w:rsid w:val="008B1E8B"/>
    <w:rsid w:val="008B4199"/>
    <w:rsid w:val="008B5A7D"/>
    <w:rsid w:val="008C06D6"/>
    <w:rsid w:val="008C0B3F"/>
    <w:rsid w:val="008C27E9"/>
    <w:rsid w:val="008C66B2"/>
    <w:rsid w:val="008C7621"/>
    <w:rsid w:val="008C7B67"/>
    <w:rsid w:val="008D1180"/>
    <w:rsid w:val="008D2731"/>
    <w:rsid w:val="008D5739"/>
    <w:rsid w:val="008D5FFF"/>
    <w:rsid w:val="008E4999"/>
    <w:rsid w:val="008E60FA"/>
    <w:rsid w:val="008F0321"/>
    <w:rsid w:val="008F0622"/>
    <w:rsid w:val="008F1809"/>
    <w:rsid w:val="008F4E15"/>
    <w:rsid w:val="0090457D"/>
    <w:rsid w:val="00905966"/>
    <w:rsid w:val="009078A3"/>
    <w:rsid w:val="00910B9A"/>
    <w:rsid w:val="00912F28"/>
    <w:rsid w:val="00915939"/>
    <w:rsid w:val="009162D9"/>
    <w:rsid w:val="009164BB"/>
    <w:rsid w:val="0091661E"/>
    <w:rsid w:val="0091718D"/>
    <w:rsid w:val="009215BB"/>
    <w:rsid w:val="00922718"/>
    <w:rsid w:val="00927E20"/>
    <w:rsid w:val="00936197"/>
    <w:rsid w:val="00937D62"/>
    <w:rsid w:val="009415DC"/>
    <w:rsid w:val="00946732"/>
    <w:rsid w:val="00952A53"/>
    <w:rsid w:val="00952FDD"/>
    <w:rsid w:val="00955063"/>
    <w:rsid w:val="0095610D"/>
    <w:rsid w:val="0095745D"/>
    <w:rsid w:val="00960078"/>
    <w:rsid w:val="00960271"/>
    <w:rsid w:val="00962D1F"/>
    <w:rsid w:val="009664DB"/>
    <w:rsid w:val="00966BC7"/>
    <w:rsid w:val="009671D8"/>
    <w:rsid w:val="0097492C"/>
    <w:rsid w:val="009755CD"/>
    <w:rsid w:val="0098179C"/>
    <w:rsid w:val="00984289"/>
    <w:rsid w:val="009913BB"/>
    <w:rsid w:val="009918A6"/>
    <w:rsid w:val="00991CE7"/>
    <w:rsid w:val="00995B89"/>
    <w:rsid w:val="009A1993"/>
    <w:rsid w:val="009A26AD"/>
    <w:rsid w:val="009A3395"/>
    <w:rsid w:val="009A70B7"/>
    <w:rsid w:val="009B0828"/>
    <w:rsid w:val="009B2D11"/>
    <w:rsid w:val="009B5C08"/>
    <w:rsid w:val="009B6DBC"/>
    <w:rsid w:val="009C03AB"/>
    <w:rsid w:val="009C3CFC"/>
    <w:rsid w:val="009C50D0"/>
    <w:rsid w:val="009C76D5"/>
    <w:rsid w:val="009C7D89"/>
    <w:rsid w:val="009D0FDE"/>
    <w:rsid w:val="009D2645"/>
    <w:rsid w:val="009D6D57"/>
    <w:rsid w:val="009D752C"/>
    <w:rsid w:val="009E3C18"/>
    <w:rsid w:val="009F091B"/>
    <w:rsid w:val="009F1546"/>
    <w:rsid w:val="009F3261"/>
    <w:rsid w:val="00A024EA"/>
    <w:rsid w:val="00A04BAF"/>
    <w:rsid w:val="00A05844"/>
    <w:rsid w:val="00A065D5"/>
    <w:rsid w:val="00A1244A"/>
    <w:rsid w:val="00A12B98"/>
    <w:rsid w:val="00A1371D"/>
    <w:rsid w:val="00A1530C"/>
    <w:rsid w:val="00A16CE2"/>
    <w:rsid w:val="00A210B3"/>
    <w:rsid w:val="00A2184F"/>
    <w:rsid w:val="00A21A2C"/>
    <w:rsid w:val="00A2242B"/>
    <w:rsid w:val="00A227F3"/>
    <w:rsid w:val="00A2750C"/>
    <w:rsid w:val="00A36177"/>
    <w:rsid w:val="00A37B28"/>
    <w:rsid w:val="00A40506"/>
    <w:rsid w:val="00A41B01"/>
    <w:rsid w:val="00A41BAD"/>
    <w:rsid w:val="00A42E42"/>
    <w:rsid w:val="00A446E9"/>
    <w:rsid w:val="00A45661"/>
    <w:rsid w:val="00A464B0"/>
    <w:rsid w:val="00A46F34"/>
    <w:rsid w:val="00A53C49"/>
    <w:rsid w:val="00A542A3"/>
    <w:rsid w:val="00A5463C"/>
    <w:rsid w:val="00A568DA"/>
    <w:rsid w:val="00A56EF4"/>
    <w:rsid w:val="00A575C3"/>
    <w:rsid w:val="00A60B5A"/>
    <w:rsid w:val="00A65F4A"/>
    <w:rsid w:val="00A66219"/>
    <w:rsid w:val="00A679FB"/>
    <w:rsid w:val="00A715AA"/>
    <w:rsid w:val="00A75E67"/>
    <w:rsid w:val="00A81835"/>
    <w:rsid w:val="00A81A51"/>
    <w:rsid w:val="00A870A5"/>
    <w:rsid w:val="00A91897"/>
    <w:rsid w:val="00A94004"/>
    <w:rsid w:val="00A94D07"/>
    <w:rsid w:val="00A95D1C"/>
    <w:rsid w:val="00AA3634"/>
    <w:rsid w:val="00AA3703"/>
    <w:rsid w:val="00AA3C5B"/>
    <w:rsid w:val="00AA67BA"/>
    <w:rsid w:val="00AC2CC4"/>
    <w:rsid w:val="00AD048E"/>
    <w:rsid w:val="00AD177F"/>
    <w:rsid w:val="00AD4661"/>
    <w:rsid w:val="00AD4CA6"/>
    <w:rsid w:val="00AD4FFE"/>
    <w:rsid w:val="00AD743F"/>
    <w:rsid w:val="00AE0D7B"/>
    <w:rsid w:val="00AE1DDC"/>
    <w:rsid w:val="00AE5D8A"/>
    <w:rsid w:val="00AE6735"/>
    <w:rsid w:val="00AE7E40"/>
    <w:rsid w:val="00AE7FA5"/>
    <w:rsid w:val="00AF0B10"/>
    <w:rsid w:val="00AF3D50"/>
    <w:rsid w:val="00AF46CB"/>
    <w:rsid w:val="00AF5A9C"/>
    <w:rsid w:val="00AF673D"/>
    <w:rsid w:val="00AF72BB"/>
    <w:rsid w:val="00B00CDD"/>
    <w:rsid w:val="00B0303F"/>
    <w:rsid w:val="00B03A5D"/>
    <w:rsid w:val="00B04BCD"/>
    <w:rsid w:val="00B1193F"/>
    <w:rsid w:val="00B11D00"/>
    <w:rsid w:val="00B142C5"/>
    <w:rsid w:val="00B263D0"/>
    <w:rsid w:val="00B27495"/>
    <w:rsid w:val="00B27819"/>
    <w:rsid w:val="00B35906"/>
    <w:rsid w:val="00B35DB1"/>
    <w:rsid w:val="00B36B5B"/>
    <w:rsid w:val="00B42539"/>
    <w:rsid w:val="00B45A78"/>
    <w:rsid w:val="00B577C8"/>
    <w:rsid w:val="00B57FBF"/>
    <w:rsid w:val="00B60E1C"/>
    <w:rsid w:val="00B6217B"/>
    <w:rsid w:val="00B6514D"/>
    <w:rsid w:val="00B67124"/>
    <w:rsid w:val="00B72C02"/>
    <w:rsid w:val="00B733BB"/>
    <w:rsid w:val="00B73C1C"/>
    <w:rsid w:val="00B74296"/>
    <w:rsid w:val="00B74B05"/>
    <w:rsid w:val="00B77442"/>
    <w:rsid w:val="00B7766E"/>
    <w:rsid w:val="00B77AC5"/>
    <w:rsid w:val="00B82D93"/>
    <w:rsid w:val="00B8588F"/>
    <w:rsid w:val="00B93134"/>
    <w:rsid w:val="00B96B27"/>
    <w:rsid w:val="00BA3405"/>
    <w:rsid w:val="00BA39E6"/>
    <w:rsid w:val="00BA3A71"/>
    <w:rsid w:val="00BA62D7"/>
    <w:rsid w:val="00BA7787"/>
    <w:rsid w:val="00BB42CB"/>
    <w:rsid w:val="00BC4260"/>
    <w:rsid w:val="00BC4BFE"/>
    <w:rsid w:val="00BC6CDB"/>
    <w:rsid w:val="00BD2A34"/>
    <w:rsid w:val="00BE0DA4"/>
    <w:rsid w:val="00BE1A60"/>
    <w:rsid w:val="00BE361C"/>
    <w:rsid w:val="00BE6145"/>
    <w:rsid w:val="00BE6602"/>
    <w:rsid w:val="00BE6A1F"/>
    <w:rsid w:val="00BF23F0"/>
    <w:rsid w:val="00BF354B"/>
    <w:rsid w:val="00BF3CC9"/>
    <w:rsid w:val="00BF4245"/>
    <w:rsid w:val="00BF4BC2"/>
    <w:rsid w:val="00BF4DCC"/>
    <w:rsid w:val="00BF6B7D"/>
    <w:rsid w:val="00C003E1"/>
    <w:rsid w:val="00C06B11"/>
    <w:rsid w:val="00C11DEF"/>
    <w:rsid w:val="00C121D8"/>
    <w:rsid w:val="00C12B45"/>
    <w:rsid w:val="00C139E7"/>
    <w:rsid w:val="00C149ED"/>
    <w:rsid w:val="00C15121"/>
    <w:rsid w:val="00C178A6"/>
    <w:rsid w:val="00C17965"/>
    <w:rsid w:val="00C24F00"/>
    <w:rsid w:val="00C2676D"/>
    <w:rsid w:val="00C27C1A"/>
    <w:rsid w:val="00C30902"/>
    <w:rsid w:val="00C31CDC"/>
    <w:rsid w:val="00C33AD6"/>
    <w:rsid w:val="00C353CD"/>
    <w:rsid w:val="00C36FE8"/>
    <w:rsid w:val="00C42219"/>
    <w:rsid w:val="00C4263A"/>
    <w:rsid w:val="00C4720A"/>
    <w:rsid w:val="00C563B2"/>
    <w:rsid w:val="00C5648C"/>
    <w:rsid w:val="00C609E4"/>
    <w:rsid w:val="00C6513F"/>
    <w:rsid w:val="00C727DA"/>
    <w:rsid w:val="00C74C5C"/>
    <w:rsid w:val="00C76E91"/>
    <w:rsid w:val="00C80730"/>
    <w:rsid w:val="00C850E9"/>
    <w:rsid w:val="00C855B2"/>
    <w:rsid w:val="00C8702C"/>
    <w:rsid w:val="00C87489"/>
    <w:rsid w:val="00C907CC"/>
    <w:rsid w:val="00C90A5A"/>
    <w:rsid w:val="00C93319"/>
    <w:rsid w:val="00C93DB2"/>
    <w:rsid w:val="00C95D92"/>
    <w:rsid w:val="00C977AC"/>
    <w:rsid w:val="00CA0146"/>
    <w:rsid w:val="00CA0EA2"/>
    <w:rsid w:val="00CB02EC"/>
    <w:rsid w:val="00CB21EA"/>
    <w:rsid w:val="00CB246D"/>
    <w:rsid w:val="00CB60C2"/>
    <w:rsid w:val="00CB6A48"/>
    <w:rsid w:val="00CC5DE5"/>
    <w:rsid w:val="00CD450E"/>
    <w:rsid w:val="00CE1627"/>
    <w:rsid w:val="00CE1A7D"/>
    <w:rsid w:val="00CE3B16"/>
    <w:rsid w:val="00CE57AE"/>
    <w:rsid w:val="00CE6107"/>
    <w:rsid w:val="00CE66F5"/>
    <w:rsid w:val="00CF0D04"/>
    <w:rsid w:val="00CF1640"/>
    <w:rsid w:val="00CF7FC3"/>
    <w:rsid w:val="00D0542B"/>
    <w:rsid w:val="00D05E5E"/>
    <w:rsid w:val="00D0603E"/>
    <w:rsid w:val="00D0634A"/>
    <w:rsid w:val="00D149E6"/>
    <w:rsid w:val="00D1608A"/>
    <w:rsid w:val="00D16DAF"/>
    <w:rsid w:val="00D207FA"/>
    <w:rsid w:val="00D233A5"/>
    <w:rsid w:val="00D23EC1"/>
    <w:rsid w:val="00D26F72"/>
    <w:rsid w:val="00D315E5"/>
    <w:rsid w:val="00D32E09"/>
    <w:rsid w:val="00D36892"/>
    <w:rsid w:val="00D370AE"/>
    <w:rsid w:val="00D438F5"/>
    <w:rsid w:val="00D43B5A"/>
    <w:rsid w:val="00D43F0C"/>
    <w:rsid w:val="00D44212"/>
    <w:rsid w:val="00D4680F"/>
    <w:rsid w:val="00D46990"/>
    <w:rsid w:val="00D46DA6"/>
    <w:rsid w:val="00D47AA7"/>
    <w:rsid w:val="00D50CD2"/>
    <w:rsid w:val="00D51080"/>
    <w:rsid w:val="00D63B4C"/>
    <w:rsid w:val="00D7177F"/>
    <w:rsid w:val="00D81089"/>
    <w:rsid w:val="00D867C8"/>
    <w:rsid w:val="00D87FB1"/>
    <w:rsid w:val="00D905D7"/>
    <w:rsid w:val="00D917F0"/>
    <w:rsid w:val="00D96989"/>
    <w:rsid w:val="00D96A3A"/>
    <w:rsid w:val="00DA2C45"/>
    <w:rsid w:val="00DA3E71"/>
    <w:rsid w:val="00DB1400"/>
    <w:rsid w:val="00DB23A9"/>
    <w:rsid w:val="00DB4855"/>
    <w:rsid w:val="00DC202C"/>
    <w:rsid w:val="00DC2774"/>
    <w:rsid w:val="00DC2A5F"/>
    <w:rsid w:val="00DC38CC"/>
    <w:rsid w:val="00DC39A9"/>
    <w:rsid w:val="00DC3E53"/>
    <w:rsid w:val="00DC7A91"/>
    <w:rsid w:val="00DE0E7B"/>
    <w:rsid w:val="00DE1A0C"/>
    <w:rsid w:val="00DE3FAC"/>
    <w:rsid w:val="00DE737F"/>
    <w:rsid w:val="00DF13BC"/>
    <w:rsid w:val="00DF4A4A"/>
    <w:rsid w:val="00E0217D"/>
    <w:rsid w:val="00E05C00"/>
    <w:rsid w:val="00E15009"/>
    <w:rsid w:val="00E178D0"/>
    <w:rsid w:val="00E17E13"/>
    <w:rsid w:val="00E2033B"/>
    <w:rsid w:val="00E231C1"/>
    <w:rsid w:val="00E23811"/>
    <w:rsid w:val="00E25575"/>
    <w:rsid w:val="00E264B3"/>
    <w:rsid w:val="00E30BE3"/>
    <w:rsid w:val="00E32B61"/>
    <w:rsid w:val="00E332E3"/>
    <w:rsid w:val="00E341CA"/>
    <w:rsid w:val="00E34E67"/>
    <w:rsid w:val="00E3678A"/>
    <w:rsid w:val="00E36A1C"/>
    <w:rsid w:val="00E37A6F"/>
    <w:rsid w:val="00E400FF"/>
    <w:rsid w:val="00E40321"/>
    <w:rsid w:val="00E41C7A"/>
    <w:rsid w:val="00E424A5"/>
    <w:rsid w:val="00E45787"/>
    <w:rsid w:val="00E46589"/>
    <w:rsid w:val="00E505BC"/>
    <w:rsid w:val="00E50A63"/>
    <w:rsid w:val="00E51B2A"/>
    <w:rsid w:val="00E53F93"/>
    <w:rsid w:val="00E54F60"/>
    <w:rsid w:val="00E601E9"/>
    <w:rsid w:val="00E64410"/>
    <w:rsid w:val="00E6448E"/>
    <w:rsid w:val="00E65288"/>
    <w:rsid w:val="00E66C76"/>
    <w:rsid w:val="00E7303D"/>
    <w:rsid w:val="00E76345"/>
    <w:rsid w:val="00E8060F"/>
    <w:rsid w:val="00E83AD7"/>
    <w:rsid w:val="00E87655"/>
    <w:rsid w:val="00E9093A"/>
    <w:rsid w:val="00E94C4F"/>
    <w:rsid w:val="00E953E8"/>
    <w:rsid w:val="00E958DE"/>
    <w:rsid w:val="00E95F8F"/>
    <w:rsid w:val="00EA113E"/>
    <w:rsid w:val="00EA490C"/>
    <w:rsid w:val="00EA5D6A"/>
    <w:rsid w:val="00EB0A23"/>
    <w:rsid w:val="00EB295E"/>
    <w:rsid w:val="00EB46C3"/>
    <w:rsid w:val="00EB590F"/>
    <w:rsid w:val="00EB5C58"/>
    <w:rsid w:val="00EC02F8"/>
    <w:rsid w:val="00EC1D6C"/>
    <w:rsid w:val="00EC3550"/>
    <w:rsid w:val="00EC3E76"/>
    <w:rsid w:val="00EC46F4"/>
    <w:rsid w:val="00EC5E25"/>
    <w:rsid w:val="00ED5043"/>
    <w:rsid w:val="00ED5A72"/>
    <w:rsid w:val="00EE293F"/>
    <w:rsid w:val="00EE4E43"/>
    <w:rsid w:val="00EE67BF"/>
    <w:rsid w:val="00EF0B54"/>
    <w:rsid w:val="00EF1185"/>
    <w:rsid w:val="00EF276C"/>
    <w:rsid w:val="00EF473E"/>
    <w:rsid w:val="00F02549"/>
    <w:rsid w:val="00F050A4"/>
    <w:rsid w:val="00F0689B"/>
    <w:rsid w:val="00F10D19"/>
    <w:rsid w:val="00F12ABA"/>
    <w:rsid w:val="00F13907"/>
    <w:rsid w:val="00F1470A"/>
    <w:rsid w:val="00F17537"/>
    <w:rsid w:val="00F2246C"/>
    <w:rsid w:val="00F27ABF"/>
    <w:rsid w:val="00F304B9"/>
    <w:rsid w:val="00F31834"/>
    <w:rsid w:val="00F324B6"/>
    <w:rsid w:val="00F33B1E"/>
    <w:rsid w:val="00F35C65"/>
    <w:rsid w:val="00F363B1"/>
    <w:rsid w:val="00F41B1A"/>
    <w:rsid w:val="00F43C9F"/>
    <w:rsid w:val="00F44196"/>
    <w:rsid w:val="00F44948"/>
    <w:rsid w:val="00F44F9F"/>
    <w:rsid w:val="00F521F1"/>
    <w:rsid w:val="00F52EAC"/>
    <w:rsid w:val="00F544A1"/>
    <w:rsid w:val="00F55967"/>
    <w:rsid w:val="00F60E13"/>
    <w:rsid w:val="00F630C9"/>
    <w:rsid w:val="00F70F7A"/>
    <w:rsid w:val="00F71A2A"/>
    <w:rsid w:val="00F727E6"/>
    <w:rsid w:val="00F73C78"/>
    <w:rsid w:val="00F77022"/>
    <w:rsid w:val="00F80927"/>
    <w:rsid w:val="00F80C9C"/>
    <w:rsid w:val="00F86FDF"/>
    <w:rsid w:val="00F90A28"/>
    <w:rsid w:val="00F916CE"/>
    <w:rsid w:val="00F91C1A"/>
    <w:rsid w:val="00FA099C"/>
    <w:rsid w:val="00FA2197"/>
    <w:rsid w:val="00FA28D1"/>
    <w:rsid w:val="00FA7592"/>
    <w:rsid w:val="00FA7F4E"/>
    <w:rsid w:val="00FB04B4"/>
    <w:rsid w:val="00FB4090"/>
    <w:rsid w:val="00FB761D"/>
    <w:rsid w:val="00FD0B11"/>
    <w:rsid w:val="00FD17C2"/>
    <w:rsid w:val="00FD2F7F"/>
    <w:rsid w:val="00FD70E8"/>
    <w:rsid w:val="00FE2724"/>
    <w:rsid w:val="00FE4833"/>
    <w:rsid w:val="00FE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6F"/>
  </w:style>
  <w:style w:type="paragraph" w:styleId="Heading1">
    <w:name w:val="heading 1"/>
    <w:basedOn w:val="Normal"/>
    <w:next w:val="Normal"/>
    <w:link w:val="Heading1Char"/>
    <w:uiPriority w:val="9"/>
    <w:qFormat/>
    <w:rsid w:val="00D368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8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E53"/>
    <w:pPr>
      <w:ind w:left="720"/>
      <w:contextualSpacing/>
    </w:pPr>
  </w:style>
  <w:style w:type="table" w:styleId="TableGrid">
    <w:name w:val="Table Grid"/>
    <w:basedOn w:val="TableNormal"/>
    <w:uiPriority w:val="59"/>
    <w:rsid w:val="00D16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0E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E04"/>
  </w:style>
  <w:style w:type="paragraph" w:styleId="Footer">
    <w:name w:val="footer"/>
    <w:basedOn w:val="Normal"/>
    <w:link w:val="FooterChar"/>
    <w:uiPriority w:val="99"/>
    <w:unhideWhenUsed/>
    <w:rsid w:val="001C0E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E04"/>
  </w:style>
  <w:style w:type="paragraph" w:styleId="BalloonText">
    <w:name w:val="Balloon Text"/>
    <w:basedOn w:val="Normal"/>
    <w:link w:val="BalloonTextChar"/>
    <w:uiPriority w:val="99"/>
    <w:semiHidden/>
    <w:unhideWhenUsed/>
    <w:rsid w:val="00C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1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6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t-card-ttl-txt1">
    <w:name w:val="gt-card-ttl-txt1"/>
    <w:basedOn w:val="DefaultParagraphFont"/>
    <w:rsid w:val="00612987"/>
    <w:rPr>
      <w:color w:val="222222"/>
    </w:rPr>
  </w:style>
  <w:style w:type="character" w:customStyle="1" w:styleId="hps">
    <w:name w:val="hps"/>
    <w:basedOn w:val="DefaultParagraphFont"/>
    <w:rsid w:val="00612987"/>
  </w:style>
  <w:style w:type="character" w:styleId="CommentReference">
    <w:name w:val="annotation reference"/>
    <w:basedOn w:val="DefaultParagraphFont"/>
    <w:uiPriority w:val="99"/>
    <w:semiHidden/>
    <w:unhideWhenUsed/>
    <w:rsid w:val="00991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B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368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68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0078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60078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0078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0078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6007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007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LightShading-Accent5">
    <w:name w:val="Light Shading Accent 5"/>
    <w:basedOn w:val="TableNormal"/>
    <w:uiPriority w:val="60"/>
    <w:rsid w:val="006A501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1-Accent6">
    <w:name w:val="Medium Grid 1 Accent 6"/>
    <w:basedOn w:val="TableNormal"/>
    <w:uiPriority w:val="67"/>
    <w:rsid w:val="006A50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1-Accent3">
    <w:name w:val="Medium List 1 Accent 3"/>
    <w:basedOn w:val="TableNormal"/>
    <w:uiPriority w:val="65"/>
    <w:rsid w:val="00FB04B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5">
    <w:name w:val="Medium List 1 Accent 5"/>
    <w:basedOn w:val="TableNormal"/>
    <w:uiPriority w:val="65"/>
    <w:rsid w:val="00FB04B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Grid1-Accent3">
    <w:name w:val="Medium Grid 1 Accent 3"/>
    <w:basedOn w:val="TableNormal"/>
    <w:uiPriority w:val="67"/>
    <w:rsid w:val="009664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ghtGrid-Accent3">
    <w:name w:val="Light Grid Accent 3"/>
    <w:basedOn w:val="TableNormal"/>
    <w:uiPriority w:val="62"/>
    <w:rsid w:val="009664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1-Accent2">
    <w:name w:val="Medium Grid 1 Accent 2"/>
    <w:basedOn w:val="TableNormal"/>
    <w:uiPriority w:val="67"/>
    <w:rsid w:val="009664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4">
    <w:name w:val="Medium Grid 1 Accent 4"/>
    <w:basedOn w:val="TableNormal"/>
    <w:uiPriority w:val="67"/>
    <w:rsid w:val="009664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664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Grid-Accent6">
    <w:name w:val="Light Grid Accent 6"/>
    <w:basedOn w:val="TableNormal"/>
    <w:uiPriority w:val="62"/>
    <w:rsid w:val="009842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List1-Accent6">
    <w:name w:val="Medium List 1 Accent 6"/>
    <w:basedOn w:val="TableNormal"/>
    <w:uiPriority w:val="65"/>
    <w:rsid w:val="00746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746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8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MUSNAS04\MSE_n\MSE3\Sami%20MSE34\Analysis%20Reports\LTI%20study%20YTD\2015\Quarterly\Q-graph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MUSNAS04\MSE_n\MSE3\Sami%20MSE34\Analysis%20Reports\LTI%20study%20YTD\2015\Quarterly\Q-graph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MUSNAS04\MSE_n\MSE3\Sami%20MSE34\Analysis%20Reports\LTI%20study%20YTD\2015\Quarterly\Q-underlying%20caus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MUSNAS04\MSE_n\MSE3\Sami%20MSE34\Analysis%20Reports\LTI%20study%20YTD\2015\Quarterly\Q-graph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MUSNAS04\MSE_n\MSE3\Sami%20MSE34\Analysis%20Reports\LTI%20study%20YTD\2015\Quarterly\Q-graph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MUSNAS04\MSE_n\MSE3\Sami%20MSE34\Analysis%20Reports\LTI%20study%20YTD\2015\Quarterly\Q-graph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v>2014</c:v>
          </c:tx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Val val="1"/>
            </c:dLbl>
            <c:showVal val="1"/>
          </c:dLbls>
          <c:cat>
            <c:strRef>
              <c:f>Sheet1!$H$5:$H$11</c:f>
              <c:strCache>
                <c:ptCount val="7"/>
                <c:pt idx="0">
                  <c:v>UWD</c:v>
                </c:pt>
                <c:pt idx="1">
                  <c:v>OSD</c:v>
                </c:pt>
                <c:pt idx="2">
                  <c:v>OND</c:v>
                </c:pt>
                <c:pt idx="3">
                  <c:v>XD</c:v>
                </c:pt>
                <c:pt idx="4">
                  <c:v>UID</c:v>
                </c:pt>
                <c:pt idx="5">
                  <c:v>GD</c:v>
                </c:pt>
                <c:pt idx="6">
                  <c:v>CPDM</c:v>
                </c:pt>
              </c:strCache>
            </c:strRef>
          </c:cat>
          <c:val>
            <c:numRef>
              <c:f>Sheet1!$I$5:$I$11</c:f>
              <c:numCache>
                <c:formatCode>0</c:formatCode>
                <c:ptCount val="7"/>
                <c:pt idx="0">
                  <c:v>63.793103448276106</c:v>
                </c:pt>
                <c:pt idx="1">
                  <c:v>13.793103448275806</c:v>
                </c:pt>
                <c:pt idx="2">
                  <c:v>3.4482758620689653</c:v>
                </c:pt>
                <c:pt idx="3">
                  <c:v>1.7241379310344829</c:v>
                </c:pt>
                <c:pt idx="4">
                  <c:v>15.517241379310345</c:v>
                </c:pt>
                <c:pt idx="5">
                  <c:v>1.7241379310344829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v>2015</c:v>
          </c:tx>
          <c:dLbls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showVal val="1"/>
            </c:dLbl>
            <c:showVal val="1"/>
          </c:dLbls>
          <c:cat>
            <c:strRef>
              <c:f>Sheet1!$H$5:$H$11</c:f>
              <c:strCache>
                <c:ptCount val="7"/>
                <c:pt idx="0">
                  <c:v>UWD</c:v>
                </c:pt>
                <c:pt idx="1">
                  <c:v>OSD</c:v>
                </c:pt>
                <c:pt idx="2">
                  <c:v>OND</c:v>
                </c:pt>
                <c:pt idx="3">
                  <c:v>XD</c:v>
                </c:pt>
                <c:pt idx="4">
                  <c:v>UID</c:v>
                </c:pt>
                <c:pt idx="5">
                  <c:v>GD</c:v>
                </c:pt>
                <c:pt idx="6">
                  <c:v>CPDM</c:v>
                </c:pt>
              </c:strCache>
            </c:strRef>
          </c:cat>
          <c:val>
            <c:numRef>
              <c:f>Sheet1!$J$5:$J$11</c:f>
              <c:numCache>
                <c:formatCode>0</c:formatCode>
                <c:ptCount val="7"/>
                <c:pt idx="0">
                  <c:v>72.549019607843562</c:v>
                </c:pt>
                <c:pt idx="1">
                  <c:v>5.8823529411764675</c:v>
                </c:pt>
                <c:pt idx="2">
                  <c:v>0</c:v>
                </c:pt>
                <c:pt idx="3">
                  <c:v>1.9607843137254897</c:v>
                </c:pt>
                <c:pt idx="4">
                  <c:v>15.686274509803924</c:v>
                </c:pt>
                <c:pt idx="5">
                  <c:v>0</c:v>
                </c:pt>
                <c:pt idx="6">
                  <c:v>3.9215686274509798</c:v>
                </c:pt>
              </c:numCache>
            </c:numRef>
          </c:val>
        </c:ser>
        <c:dLbls>
          <c:showVal val="1"/>
        </c:dLbls>
        <c:shape val="pyramid"/>
        <c:axId val="42992768"/>
        <c:axId val="42994688"/>
        <c:axId val="71672704"/>
      </c:bar3DChart>
      <c:catAx>
        <c:axId val="429927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 b="1" i="0" baseline="0"/>
                  <a:t>Directorate</a:t>
                </a:r>
                <a:endParaRPr lang="en-US" sz="1200"/>
              </a:p>
            </c:rich>
          </c:tx>
          <c:layout/>
        </c:title>
        <c:tickLblPos val="nextTo"/>
        <c:crossAx val="42994688"/>
        <c:crosses val="autoZero"/>
        <c:auto val="1"/>
        <c:lblAlgn val="ctr"/>
        <c:lblOffset val="100"/>
      </c:catAx>
      <c:valAx>
        <c:axId val="42994688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 sz="1200"/>
                </a:pPr>
                <a:r>
                  <a:rPr lang="en-US" sz="1200" b="1" i="0" u="none" strike="noStrike" baseline="0"/>
                  <a:t>%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1.9086571233810835E-2"/>
              <c:y val="0.41574837236254897"/>
            </c:manualLayout>
          </c:layout>
        </c:title>
        <c:numFmt formatCode="0" sourceLinked="1"/>
        <c:tickLblPos val="nextTo"/>
        <c:crossAx val="42992768"/>
        <c:crosses val="autoZero"/>
        <c:crossBetween val="between"/>
      </c:valAx>
      <c:serAx>
        <c:axId val="71672704"/>
        <c:scaling>
          <c:orientation val="minMax"/>
        </c:scaling>
        <c:axPos val="b"/>
        <c:tickLblPos val="nextTo"/>
        <c:crossAx val="42994688"/>
        <c:crosses val="autoZero"/>
      </c:ser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/>
            </a:pPr>
            <a:r>
              <a:rPr lang="en-US"/>
              <a:t>LTIs</a:t>
            </a:r>
            <a:r>
              <a:rPr lang="en-US" baseline="0"/>
              <a:t> By Quarter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2014</c:v>
          </c:tx>
          <c:cat>
            <c:strRef>
              <c:f>Sheet2!$F$12:$F$15</c:f>
              <c:strCache>
                <c:ptCount val="4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</c:strCache>
            </c:strRef>
          </c:cat>
          <c:val>
            <c:numRef>
              <c:f>Sheet2!$G$12:$G$15</c:f>
              <c:numCache>
                <c:formatCode>General</c:formatCode>
                <c:ptCount val="4"/>
                <c:pt idx="0">
                  <c:v>17</c:v>
                </c:pt>
                <c:pt idx="1">
                  <c:v>11</c:v>
                </c:pt>
                <c:pt idx="2">
                  <c:v>18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v>2015</c:v>
          </c:tx>
          <c:cat>
            <c:strRef>
              <c:f>Sheet2!$F$12:$F$15</c:f>
              <c:strCache>
                <c:ptCount val="4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</c:strCache>
            </c:strRef>
          </c:cat>
          <c:val>
            <c:numRef>
              <c:f>Sheet2!$H$12:$H$15</c:f>
              <c:numCache>
                <c:formatCode>General</c:formatCode>
                <c:ptCount val="4"/>
                <c:pt idx="0">
                  <c:v>11</c:v>
                </c:pt>
                <c:pt idx="1">
                  <c:v>18</c:v>
                </c:pt>
                <c:pt idx="2">
                  <c:v>9</c:v>
                </c:pt>
                <c:pt idx="3">
                  <c:v>13</c:v>
                </c:pt>
              </c:numCache>
            </c:numRef>
          </c:val>
        </c:ser>
        <c:dLbls>
          <c:showVal val="1"/>
        </c:dLbls>
        <c:shape val="cylinder"/>
        <c:axId val="43026688"/>
        <c:axId val="43053440"/>
        <c:axId val="0"/>
      </c:bar3DChart>
      <c:catAx>
        <c:axId val="430266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Quarter</a:t>
                </a:r>
              </a:p>
            </c:rich>
          </c:tx>
        </c:title>
        <c:tickLblPos val="nextTo"/>
        <c:crossAx val="43053440"/>
        <c:crosses val="autoZero"/>
        <c:auto val="1"/>
        <c:lblAlgn val="ctr"/>
        <c:lblOffset val="100"/>
      </c:catAx>
      <c:valAx>
        <c:axId val="4305344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200"/>
                  <a:t>Number of LTIs</a:t>
                </a:r>
              </a:p>
            </c:rich>
          </c:tx>
        </c:title>
        <c:numFmt formatCode="General" sourceLinked="1"/>
        <c:tickLblPos val="nextTo"/>
        <c:crossAx val="43026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/>
            </a:pPr>
            <a:r>
              <a:rPr lang="en-US"/>
              <a:t>%</a:t>
            </a:r>
            <a:r>
              <a:rPr lang="en-US" baseline="0"/>
              <a:t> of Underlying Causes - 2015</a:t>
            </a:r>
            <a:endParaRPr lang="en-US"/>
          </a:p>
        </c:rich>
      </c:tx>
    </c:title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inEnd"/>
            <c:showVal val="1"/>
            <c:showLeaderLines val="1"/>
          </c:dLbls>
          <c:cat>
            <c:strRef>
              <c:f>Sheet3!$B$4:$B$14</c:f>
              <c:strCache>
                <c:ptCount val="11"/>
                <c:pt idx="0">
                  <c:v>Training</c:v>
                </c:pt>
                <c:pt idx="1">
                  <c:v>Incompatible goals</c:v>
                </c:pt>
                <c:pt idx="2">
                  <c:v>Communication</c:v>
                </c:pt>
                <c:pt idx="3">
                  <c:v>Procedures</c:v>
                </c:pt>
                <c:pt idx="4">
                  <c:v>Design</c:v>
                </c:pt>
                <c:pt idx="5">
                  <c:v>Organisation</c:v>
                </c:pt>
                <c:pt idx="6">
                  <c:v>Error enforcing conditions</c:v>
                </c:pt>
                <c:pt idx="7">
                  <c:v>Hardware</c:v>
                </c:pt>
                <c:pt idx="8">
                  <c:v>Housekeeping</c:v>
                </c:pt>
                <c:pt idx="9">
                  <c:v>Maintenance</c:v>
                </c:pt>
                <c:pt idx="10">
                  <c:v>Defences</c:v>
                </c:pt>
              </c:strCache>
            </c:strRef>
          </c:cat>
          <c:val>
            <c:numRef>
              <c:f>Sheet3!$AD$4:$AD$14</c:f>
              <c:numCache>
                <c:formatCode>0</c:formatCode>
                <c:ptCount val="11"/>
                <c:pt idx="0">
                  <c:v>12</c:v>
                </c:pt>
                <c:pt idx="1">
                  <c:v>13</c:v>
                </c:pt>
                <c:pt idx="2">
                  <c:v>14.000000000000002</c:v>
                </c:pt>
                <c:pt idx="3">
                  <c:v>20</c:v>
                </c:pt>
                <c:pt idx="4">
                  <c:v>9.5</c:v>
                </c:pt>
                <c:pt idx="5">
                  <c:v>15.5</c:v>
                </c:pt>
                <c:pt idx="6">
                  <c:v>6.5</c:v>
                </c:pt>
                <c:pt idx="7">
                  <c:v>3.5000000000000004</c:v>
                </c:pt>
                <c:pt idx="8">
                  <c:v>1.5</c:v>
                </c:pt>
                <c:pt idx="9">
                  <c:v>3.5000000000000004</c:v>
                </c:pt>
                <c:pt idx="10">
                  <c:v>1</c:v>
                </c:pt>
              </c:numCache>
            </c:numRef>
          </c:val>
        </c:ser>
        <c:dLbls>
          <c:showVal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/>
            </a:pPr>
            <a:r>
              <a:rPr lang="en-US" sz="1800" b="1" i="0" baseline="0"/>
              <a:t>% Parts of body - 2015</a:t>
            </a:r>
            <a:endParaRPr lang="en-US"/>
          </a:p>
        </c:rich>
      </c:tx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rgbClr val="FF66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4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ctr"/>
            <c:showVal val="1"/>
            <c:showLeaderLines val="1"/>
          </c:dLbls>
          <c:cat>
            <c:strRef>
              <c:f>Sheet1!$B$17:$B$27</c:f>
              <c:strCache>
                <c:ptCount val="11"/>
                <c:pt idx="0">
                  <c:v>Hands/fingers</c:v>
                </c:pt>
                <c:pt idx="1">
                  <c:v>wrist</c:v>
                </c:pt>
                <c:pt idx="2">
                  <c:v>Elbow/Arm</c:v>
                </c:pt>
                <c:pt idx="3">
                  <c:v>ankle/foot/toe</c:v>
                </c:pt>
                <c:pt idx="4">
                  <c:v>Knee/Leg </c:v>
                </c:pt>
                <c:pt idx="5">
                  <c:v>pelvis</c:v>
                </c:pt>
                <c:pt idx="6">
                  <c:v>head/neck</c:v>
                </c:pt>
                <c:pt idx="7">
                  <c:v>eyes/face/nose</c:v>
                </c:pt>
                <c:pt idx="8">
                  <c:v>thumb</c:v>
                </c:pt>
                <c:pt idx="9">
                  <c:v>jaw/teeth</c:v>
                </c:pt>
                <c:pt idx="10">
                  <c:v>Body</c:v>
                </c:pt>
              </c:strCache>
            </c:strRef>
          </c:cat>
          <c:val>
            <c:numRef>
              <c:f>Sheet1!$D$17:$D$27</c:f>
              <c:numCache>
                <c:formatCode>0</c:formatCode>
                <c:ptCount val="11"/>
                <c:pt idx="0">
                  <c:v>45.098039215686278</c:v>
                </c:pt>
                <c:pt idx="1">
                  <c:v>5.8823529411764675</c:v>
                </c:pt>
                <c:pt idx="2">
                  <c:v>9.8039215686274517</c:v>
                </c:pt>
                <c:pt idx="3">
                  <c:v>3.9215686274509798</c:v>
                </c:pt>
                <c:pt idx="4">
                  <c:v>11.76470588235294</c:v>
                </c:pt>
                <c:pt idx="5">
                  <c:v>1.9607843137254899</c:v>
                </c:pt>
                <c:pt idx="6">
                  <c:v>3.9215686274509798</c:v>
                </c:pt>
                <c:pt idx="7">
                  <c:v>1.9607843137254899</c:v>
                </c:pt>
                <c:pt idx="8">
                  <c:v>7.8431372549019605</c:v>
                </c:pt>
                <c:pt idx="9">
                  <c:v>1.9607843137254899</c:v>
                </c:pt>
                <c:pt idx="10">
                  <c:v>5.8823529411764675</c:v>
                </c:pt>
              </c:numCache>
            </c:numRef>
          </c:val>
        </c:ser>
        <c:dLbls>
          <c:showVal val="1"/>
        </c:dLbls>
        <c:firstSliceAng val="0"/>
      </c:pieChart>
    </c:plotArea>
    <c:legend>
      <c:legendPos val="r"/>
      <c:layout>
        <c:manualLayout>
          <c:xMode val="edge"/>
          <c:yMode val="edge"/>
          <c:x val="0.70229871483172912"/>
          <c:y val="0.12414939072638076"/>
          <c:w val="0.27682206161234268"/>
          <c:h val="0.80783202396590559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/>
            </a:pPr>
            <a:r>
              <a:rPr lang="en-US" sz="1800" b="1" i="0" baseline="0"/>
              <a:t>%Time of incident</a:t>
            </a:r>
            <a:endParaRPr lang="en-US"/>
          </a:p>
        </c:rich>
      </c:tx>
      <c:layout>
        <c:manualLayout>
          <c:xMode val="edge"/>
          <c:yMode val="edge"/>
          <c:x val="0.73079155730534551"/>
          <c:y val="7.407407407407407E-2"/>
        </c:manualLayout>
      </c:layout>
    </c:title>
    <c:plotArea>
      <c:layout/>
      <c:pieChart>
        <c:varyColors val="1"/>
        <c:ser>
          <c:idx val="0"/>
          <c:order val="0"/>
          <c:dPt>
            <c:idx val="1"/>
            <c:spPr>
              <a:solidFill>
                <a:srgbClr val="FF66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5"/>
            <c:spPr>
              <a:solidFill>
                <a:srgbClr val="FFFF00"/>
              </a:solidFill>
            </c:spPr>
          </c:dPt>
          <c:dLbls>
            <c:dLblPos val="ctr"/>
            <c:showVal val="1"/>
            <c:showLeaderLines val="1"/>
          </c:dLbls>
          <c:cat>
            <c:strRef>
              <c:f>Sheet1!$B$35:$B$40</c:f>
              <c:strCache>
                <c:ptCount val="6"/>
                <c:pt idx="0">
                  <c:v>00:00 - 04:00</c:v>
                </c:pt>
                <c:pt idx="1">
                  <c:v>08:00 -12:00</c:v>
                </c:pt>
                <c:pt idx="2">
                  <c:v>12:00 - 16:00</c:v>
                </c:pt>
                <c:pt idx="3">
                  <c:v>16:00 - 20:00</c:v>
                </c:pt>
                <c:pt idx="4">
                  <c:v>20:00 - 00:00</c:v>
                </c:pt>
                <c:pt idx="5">
                  <c:v>04:00 -08:00</c:v>
                </c:pt>
              </c:strCache>
            </c:strRef>
          </c:cat>
          <c:val>
            <c:numRef>
              <c:f>Sheet1!$D$35:$D$40</c:f>
              <c:numCache>
                <c:formatCode>0</c:formatCode>
                <c:ptCount val="6"/>
                <c:pt idx="0">
                  <c:v>5.8823529411764675</c:v>
                </c:pt>
                <c:pt idx="1">
                  <c:v>43.137254901960787</c:v>
                </c:pt>
                <c:pt idx="2">
                  <c:v>15.686274509803924</c:v>
                </c:pt>
                <c:pt idx="3">
                  <c:v>15.686274509803924</c:v>
                </c:pt>
                <c:pt idx="4">
                  <c:v>11.76470588235294</c:v>
                </c:pt>
                <c:pt idx="5">
                  <c:v>7.8431372549019605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/>
            </a:pPr>
            <a:r>
              <a:rPr lang="en-US"/>
              <a:t>%Age</a:t>
            </a:r>
            <a:r>
              <a:rPr lang="en-US" baseline="0"/>
              <a:t> of IP</a:t>
            </a:r>
            <a:endParaRPr lang="en-US"/>
          </a:p>
        </c:rich>
      </c:tx>
      <c:layout>
        <c:manualLayout>
          <c:xMode val="edge"/>
          <c:yMode val="edge"/>
          <c:x val="0.64610502196416764"/>
          <c:y val="2.9328886334788772E-3"/>
        </c:manualLayout>
      </c:layout>
      <c:overlay val="1"/>
    </c:title>
    <c:plotArea>
      <c:layout/>
      <c:pieChart>
        <c:varyColors val="1"/>
        <c:ser>
          <c:idx val="0"/>
          <c:order val="0"/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FF6600"/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ctr"/>
            <c:showVal val="1"/>
            <c:showLeaderLines val="1"/>
          </c:dLbls>
          <c:cat>
            <c:strRef>
              <c:f>Sheet1!$B$47:$B$53</c:f>
              <c:strCache>
                <c:ptCount val="7"/>
                <c:pt idx="0">
                  <c:v>20-25</c:v>
                </c:pt>
                <c:pt idx="1">
                  <c:v>26-30</c:v>
                </c:pt>
                <c:pt idx="2">
                  <c:v>31-35</c:v>
                </c:pt>
                <c:pt idx="3">
                  <c:v>36-40</c:v>
                </c:pt>
                <c:pt idx="4">
                  <c:v>41-45</c:v>
                </c:pt>
                <c:pt idx="5">
                  <c:v>46-50</c:v>
                </c:pt>
                <c:pt idx="6">
                  <c:v>51-60</c:v>
                </c:pt>
              </c:strCache>
            </c:strRef>
          </c:cat>
          <c:val>
            <c:numRef>
              <c:f>Sheet1!$D$47:$D$53</c:f>
              <c:numCache>
                <c:formatCode>0</c:formatCode>
                <c:ptCount val="7"/>
                <c:pt idx="0">
                  <c:v>13.725490196078432</c:v>
                </c:pt>
                <c:pt idx="1">
                  <c:v>25.490196078431211</c:v>
                </c:pt>
                <c:pt idx="2">
                  <c:v>29.411764705882355</c:v>
                </c:pt>
                <c:pt idx="3">
                  <c:v>11.76470588235294</c:v>
                </c:pt>
                <c:pt idx="4">
                  <c:v>11.76470588235294</c:v>
                </c:pt>
                <c:pt idx="5">
                  <c:v>1.9607843137254899</c:v>
                </c:pt>
                <c:pt idx="6">
                  <c:v>5.8823529411764675</c:v>
                </c:pt>
              </c:numCache>
            </c:numRef>
          </c:val>
        </c:ser>
        <c:dLbls>
          <c:showVal val="1"/>
        </c:dLbls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C4067D375EDA046866D1CFD34BA6725" ma:contentTypeVersion="4" ma:contentTypeDescription="Upload an image." ma:contentTypeScope="" ma:versionID="5568808217e8896a20d35b78a187a54b">
  <xsd:schema xmlns:xsd="http://www.w3.org/2001/XMLSchema" xmlns:xs="http://www.w3.org/2001/XMLSchema" xmlns:p="http://schemas.microsoft.com/office/2006/metadata/properties" xmlns:ns1="http://schemas.microsoft.com/sharepoint/v3" xmlns:ns2="4880E4F8-4B7D-4BDD-91E3-E10D47036ECA" xmlns:ns3="http://schemas.microsoft.com/sharepoint/v3/fields" xmlns:ns4="4880e4f8-4b7d-4bdd-91e3-e10d47036eca" xmlns:ns5="9d51eac6-a7d5-47f5-a119-63d146adb134" targetNamespace="http://schemas.microsoft.com/office/2006/metadata/properties" ma:root="true" ma:fieldsID="95b9b289a8e8f4d106e4c69b136198e4" ns1:_="" ns2:_="" ns3:_="" ns4:_="" ns5:_="">
    <xsd:import namespace="http://schemas.microsoft.com/sharepoint/v3"/>
    <xsd:import namespace="4880E4F8-4B7D-4BDD-91E3-E10D47036ECA"/>
    <xsd:import namespace="http://schemas.microsoft.com/sharepoint/v3/fields"/>
    <xsd:import namespace="4880e4f8-4b7d-4bdd-91e3-e10d47036eca"/>
    <xsd:import namespace="9d51eac6-a7d5-47f5-a119-63d146adb134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Language" minOccurs="0"/>
                <xsd:element ref="ns4:Doc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0E4F8-4B7D-4BDD-91E3-E10D47036EC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0e4f8-4b7d-4bdd-91e3-e10d47036eca" elementFormDefault="qualified">
    <xsd:import namespace="http://schemas.microsoft.com/office/2006/documentManagement/types"/>
    <xsd:import namespace="http://schemas.microsoft.com/office/infopath/2007/PartnerControls"/>
    <xsd:element name="Language" ma:index="27" nillable="true" ma:displayName="Language" ma:default="English 1" ma:format="Dropdown" ma:internalName="Language">
      <xsd:simpleType>
        <xsd:restriction base="dms:Choice">
          <xsd:enumeration value="English"/>
          <xsd:enumeration value="Arabic"/>
          <xsd:enumeration value="Hindi"/>
          <xsd:enumeration value="English 1"/>
          <xsd:enumeration value="English 2"/>
          <xsd:enumeration value="Arabic 1"/>
          <xsd:enumeration value="Arabic 2"/>
          <xsd:enumeration value="Hindi 1"/>
          <xsd:enumeration value="Hindi 2"/>
          <xsd:enumeration value="Malayalam 1"/>
          <xsd:enumeration value="Malayalam 2"/>
        </xsd:restriction>
      </xsd:simpleType>
    </xsd:element>
    <xsd:element name="DocId" ma:index="28" nillable="true" ma:displayName="DocId" ma:list="{9de017a3-70b4-41a0-b3a1-4f7a098545da}" ma:internalName="DocId" ma:showField="ID" ma:web="9d51eac6-a7d5-47f5-a119-63d146adb13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1eac6-a7d5-47f5-a119-63d146adb134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4880e4f8-4b7d-4bdd-91e3-e10d47036eca">English 1</Language>
    <DocId xmlns="4880e4f8-4b7d-4bdd-91e3-e10d47036eca">91621</DocId>
    <ImageCreateDate xmlns="4880E4F8-4B7D-4BDD-91E3-E10D47036ECA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0559495-7E0A-4D0A-AE1C-49FA17FAA623}"/>
</file>

<file path=customXml/itemProps2.xml><?xml version="1.0" encoding="utf-8"?>
<ds:datastoreItem xmlns:ds="http://schemas.openxmlformats.org/officeDocument/2006/customXml" ds:itemID="{4DE5A825-84DC-48FB-BB18-6792FB0E5DBA}"/>
</file>

<file path=customXml/itemProps3.xml><?xml version="1.0" encoding="utf-8"?>
<ds:datastoreItem xmlns:ds="http://schemas.openxmlformats.org/officeDocument/2006/customXml" ds:itemID="{29F367D2-8EFE-4D47-AB6E-9273FE239EC0}"/>
</file>

<file path=customXml/itemProps4.xml><?xml version="1.0" encoding="utf-8"?>
<ds:datastoreItem xmlns:ds="http://schemas.openxmlformats.org/officeDocument/2006/customXml" ds:itemID="{40252558-0C61-44F1-908D-4C5B6D8082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PDO</Company>
  <LinksUpToDate>false</LinksUpToDate>
  <CharactersWithSpaces>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mu54394</dc:creator>
  <cp:lastModifiedBy>Al Khatib MU95018</cp:lastModifiedBy>
  <cp:revision>4</cp:revision>
  <cp:lastPrinted>2016-01-11T05:24:00Z</cp:lastPrinted>
  <dcterms:created xsi:type="dcterms:W3CDTF">2016-01-18T04:36:00Z</dcterms:created>
  <dcterms:modified xsi:type="dcterms:W3CDTF">2016-01-18T05:20:00Z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0x0101009148F5A04DDD49CBA7127AADA5FB792B00AADE34325A8B49CDA8BB4DB53328F214009C4067D375EDA046866D1CFD34BA6725</vt:lpwstr>
  </property>
</Properties>
</file>